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5C3" w:rsidRPr="00843070" w:rsidRDefault="002F75C3" w:rsidP="002F75C3">
      <w:pPr>
        <w:pStyle w:val="ConsTitle"/>
        <w:widowControl/>
        <w:ind w:right="0"/>
        <w:jc w:val="center"/>
        <w:rPr>
          <w:sz w:val="24"/>
          <w:szCs w:val="24"/>
        </w:rPr>
      </w:pPr>
      <w:r w:rsidRPr="00843070">
        <w:rPr>
          <w:b w:val="0"/>
          <w:bCs w:val="0"/>
          <w:noProof/>
          <w:sz w:val="24"/>
          <w:szCs w:val="24"/>
          <w:lang w:eastAsia="ru-RU"/>
        </w:rPr>
        <w:drawing>
          <wp:anchor distT="0" distB="0" distL="114300" distR="114300" simplePos="0" relativeHeight="251659264" behindDoc="1" locked="0" layoutInCell="1" allowOverlap="1">
            <wp:simplePos x="0" y="0"/>
            <wp:positionH relativeFrom="margin">
              <wp:align>center</wp:align>
            </wp:positionH>
            <wp:positionV relativeFrom="paragraph">
              <wp:posOffset>-367665</wp:posOffset>
            </wp:positionV>
            <wp:extent cx="701675" cy="876935"/>
            <wp:effectExtent l="19050" t="0" r="3175" b="0"/>
            <wp:wrapNone/>
            <wp:docPr id="4" name="Рисунок 3" descr="ТайгинскийГО-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йгинскийГО-ПП-03"/>
                    <pic:cNvPicPr>
                      <a:picLocks noChangeAspect="1" noChangeArrowheads="1"/>
                    </pic:cNvPicPr>
                  </pic:nvPicPr>
                  <pic:blipFill>
                    <a:blip r:embed="rId8" cstate="print"/>
                    <a:srcRect/>
                    <a:stretch>
                      <a:fillRect/>
                    </a:stretch>
                  </pic:blipFill>
                  <pic:spPr bwMode="auto">
                    <a:xfrm>
                      <a:off x="0" y="0"/>
                      <a:ext cx="701675" cy="876935"/>
                    </a:xfrm>
                    <a:prstGeom prst="rect">
                      <a:avLst/>
                    </a:prstGeom>
                    <a:noFill/>
                    <a:ln w="9525">
                      <a:noFill/>
                      <a:miter lim="800000"/>
                      <a:headEnd/>
                      <a:tailEnd/>
                    </a:ln>
                  </pic:spPr>
                </pic:pic>
              </a:graphicData>
            </a:graphic>
          </wp:anchor>
        </w:drawing>
      </w:r>
    </w:p>
    <w:p w:rsidR="002F75C3" w:rsidRPr="00843070" w:rsidRDefault="002F75C3" w:rsidP="002F75C3">
      <w:pPr>
        <w:pStyle w:val="ConsTitle"/>
        <w:widowControl/>
        <w:ind w:right="0"/>
        <w:jc w:val="center"/>
        <w:rPr>
          <w:sz w:val="24"/>
          <w:szCs w:val="24"/>
        </w:rPr>
      </w:pPr>
    </w:p>
    <w:p w:rsidR="002F75C3" w:rsidRPr="00843070" w:rsidRDefault="002F75C3" w:rsidP="002F75C3">
      <w:pPr>
        <w:pStyle w:val="ConsTitle"/>
        <w:widowControl/>
        <w:ind w:right="0"/>
        <w:jc w:val="center"/>
        <w:rPr>
          <w:sz w:val="24"/>
          <w:szCs w:val="24"/>
        </w:rPr>
      </w:pPr>
    </w:p>
    <w:p w:rsidR="002F75C3" w:rsidRPr="00843070" w:rsidRDefault="002F75C3" w:rsidP="002F75C3">
      <w:pPr>
        <w:pStyle w:val="ConsTitle"/>
        <w:widowControl/>
        <w:ind w:right="0"/>
        <w:jc w:val="center"/>
        <w:rPr>
          <w:sz w:val="24"/>
          <w:szCs w:val="24"/>
        </w:rPr>
      </w:pPr>
      <w:r w:rsidRPr="00843070">
        <w:rPr>
          <w:sz w:val="24"/>
          <w:szCs w:val="24"/>
        </w:rPr>
        <w:t>Кемеровская область – Кузбасс</w:t>
      </w:r>
    </w:p>
    <w:p w:rsidR="002F75C3" w:rsidRPr="00843070" w:rsidRDefault="002F75C3" w:rsidP="002F75C3">
      <w:pPr>
        <w:pStyle w:val="ConsTitle"/>
        <w:widowControl/>
        <w:ind w:right="0"/>
        <w:jc w:val="center"/>
        <w:rPr>
          <w:sz w:val="24"/>
          <w:szCs w:val="24"/>
        </w:rPr>
      </w:pPr>
    </w:p>
    <w:p w:rsidR="002F75C3" w:rsidRPr="00843070" w:rsidRDefault="002F75C3" w:rsidP="002F75C3">
      <w:pPr>
        <w:pStyle w:val="ConsTitle"/>
        <w:widowControl/>
        <w:ind w:right="0"/>
        <w:jc w:val="center"/>
        <w:rPr>
          <w:sz w:val="24"/>
          <w:szCs w:val="24"/>
        </w:rPr>
      </w:pPr>
      <w:r w:rsidRPr="00843070">
        <w:rPr>
          <w:sz w:val="24"/>
          <w:szCs w:val="24"/>
        </w:rPr>
        <w:t>СОВЕТ НАРОДНЫХ ДЕПУТАТОВ ТАЙГИНСКОГО ГОРОДСКОГО ОКРУГА</w:t>
      </w:r>
    </w:p>
    <w:p w:rsidR="002F75C3" w:rsidRPr="00843070" w:rsidRDefault="002F75C3" w:rsidP="002F75C3">
      <w:pPr>
        <w:pStyle w:val="ConsTitle"/>
        <w:widowControl/>
        <w:ind w:right="0" w:firstLine="540"/>
        <w:jc w:val="center"/>
        <w:rPr>
          <w:sz w:val="24"/>
          <w:szCs w:val="24"/>
        </w:rPr>
      </w:pPr>
    </w:p>
    <w:p w:rsidR="002F75C3" w:rsidRPr="00843070" w:rsidRDefault="002F75C3" w:rsidP="002F75C3">
      <w:pPr>
        <w:pStyle w:val="ConsTitle"/>
        <w:widowControl/>
        <w:ind w:right="0"/>
        <w:jc w:val="center"/>
        <w:rPr>
          <w:sz w:val="24"/>
          <w:szCs w:val="24"/>
        </w:rPr>
      </w:pPr>
      <w:r w:rsidRPr="00843070">
        <w:rPr>
          <w:sz w:val="24"/>
          <w:szCs w:val="24"/>
        </w:rPr>
        <w:t>РЕШЕНИЕ</w:t>
      </w:r>
    </w:p>
    <w:p w:rsidR="002F75C3" w:rsidRPr="00843070" w:rsidRDefault="002F75C3" w:rsidP="002F75C3">
      <w:pPr>
        <w:pStyle w:val="ConsTitle"/>
        <w:widowControl/>
        <w:ind w:right="0"/>
        <w:rPr>
          <w:sz w:val="24"/>
          <w:szCs w:val="24"/>
        </w:rPr>
      </w:pPr>
    </w:p>
    <w:p w:rsidR="002F75C3" w:rsidRPr="00843070" w:rsidRDefault="00357B80" w:rsidP="002F75C3">
      <w:pPr>
        <w:autoSpaceDE w:val="0"/>
        <w:autoSpaceDN w:val="0"/>
        <w:adjustRightInd w:val="0"/>
        <w:jc w:val="center"/>
        <w:rPr>
          <w:rFonts w:ascii="Arial" w:hAnsi="Arial" w:cs="Arial"/>
          <w:b/>
        </w:rPr>
      </w:pPr>
      <w:r w:rsidRPr="00843070">
        <w:rPr>
          <w:rFonts w:ascii="Arial" w:hAnsi="Arial" w:cs="Arial"/>
          <w:b/>
        </w:rPr>
        <w:t>от 1</w:t>
      </w:r>
      <w:r w:rsidR="00D73447" w:rsidRPr="00843070">
        <w:rPr>
          <w:rFonts w:ascii="Arial" w:hAnsi="Arial" w:cs="Arial"/>
          <w:b/>
        </w:rPr>
        <w:t>8</w:t>
      </w:r>
      <w:r w:rsidR="002F75C3" w:rsidRPr="00843070">
        <w:rPr>
          <w:rFonts w:ascii="Arial" w:hAnsi="Arial" w:cs="Arial"/>
          <w:b/>
        </w:rPr>
        <w:t>.06.202</w:t>
      </w:r>
      <w:r w:rsidR="00D73447" w:rsidRPr="00843070">
        <w:rPr>
          <w:rFonts w:ascii="Arial" w:hAnsi="Arial" w:cs="Arial"/>
          <w:b/>
        </w:rPr>
        <w:t>6</w:t>
      </w:r>
      <w:r w:rsidR="002F75C3" w:rsidRPr="00843070">
        <w:rPr>
          <w:rFonts w:ascii="Arial" w:hAnsi="Arial" w:cs="Arial"/>
          <w:b/>
        </w:rPr>
        <w:t xml:space="preserve"> №</w:t>
      </w:r>
      <w:r w:rsidR="00433BE6">
        <w:rPr>
          <w:rFonts w:ascii="Arial" w:hAnsi="Arial" w:cs="Arial"/>
          <w:b/>
        </w:rPr>
        <w:t xml:space="preserve"> 39</w:t>
      </w:r>
      <w:r w:rsidR="00455B75" w:rsidRPr="00843070">
        <w:rPr>
          <w:rFonts w:ascii="Arial" w:hAnsi="Arial" w:cs="Arial"/>
          <w:b/>
        </w:rPr>
        <w:t xml:space="preserve"> </w:t>
      </w:r>
      <w:r w:rsidR="00682AA5" w:rsidRPr="00843070">
        <w:rPr>
          <w:rFonts w:ascii="Arial" w:hAnsi="Arial" w:cs="Arial"/>
          <w:b/>
        </w:rPr>
        <w:t xml:space="preserve">    </w:t>
      </w:r>
      <w:r w:rsidR="002F75C3" w:rsidRPr="00843070">
        <w:rPr>
          <w:rFonts w:ascii="Arial" w:hAnsi="Arial" w:cs="Arial"/>
          <w:b/>
        </w:rPr>
        <w:t xml:space="preserve">               </w:t>
      </w:r>
      <w:r w:rsidR="002F75C3" w:rsidRPr="00843070">
        <w:rPr>
          <w:rFonts w:ascii="Arial" w:hAnsi="Arial" w:cs="Arial"/>
          <w:b/>
        </w:rPr>
        <w:tab/>
      </w:r>
      <w:r w:rsidR="002F75C3" w:rsidRPr="00843070">
        <w:rPr>
          <w:rFonts w:ascii="Arial" w:hAnsi="Arial" w:cs="Arial"/>
          <w:b/>
        </w:rPr>
        <w:tab/>
        <w:t xml:space="preserve">            </w:t>
      </w:r>
      <w:r w:rsidR="002F75C3" w:rsidRPr="00843070">
        <w:rPr>
          <w:rFonts w:ascii="Arial" w:hAnsi="Arial" w:cs="Arial"/>
          <w:b/>
        </w:rPr>
        <w:tab/>
        <w:t xml:space="preserve">       Тайгинский городской округ</w:t>
      </w:r>
    </w:p>
    <w:p w:rsidR="002F75C3" w:rsidRPr="00843070" w:rsidRDefault="002F75C3" w:rsidP="002F75C3">
      <w:pPr>
        <w:jc w:val="center"/>
        <w:rPr>
          <w:rFonts w:ascii="Arial" w:eastAsia="Calibri" w:hAnsi="Arial" w:cs="Arial"/>
          <w:b/>
        </w:rPr>
      </w:pPr>
    </w:p>
    <w:p w:rsidR="002F75C3" w:rsidRPr="00843070" w:rsidRDefault="002F75C3" w:rsidP="002F75C3">
      <w:pPr>
        <w:jc w:val="center"/>
        <w:rPr>
          <w:rFonts w:ascii="Arial" w:eastAsia="Calibri" w:hAnsi="Arial" w:cs="Arial"/>
          <w:b/>
          <w:bCs/>
        </w:rPr>
      </w:pPr>
      <w:r w:rsidRPr="00843070">
        <w:rPr>
          <w:rFonts w:ascii="Arial" w:hAnsi="Arial" w:cs="Arial"/>
          <w:b/>
          <w:bCs/>
        </w:rPr>
        <w:t xml:space="preserve">О  социально-экономическом развитии </w:t>
      </w:r>
      <w:r w:rsidRPr="00843070">
        <w:rPr>
          <w:rFonts w:ascii="Arial" w:eastAsia="Calibri" w:hAnsi="Arial" w:cs="Arial"/>
          <w:b/>
          <w:bCs/>
        </w:rPr>
        <w:t xml:space="preserve">муниципального образования «Тайгинский городской округ Кемеровской области - Кузбасса» </w:t>
      </w:r>
    </w:p>
    <w:p w:rsidR="000E1449" w:rsidRPr="00843070" w:rsidRDefault="002F75C3" w:rsidP="002F75C3">
      <w:pPr>
        <w:jc w:val="center"/>
        <w:rPr>
          <w:rFonts w:ascii="Arial" w:eastAsia="Calibri" w:hAnsi="Arial" w:cs="Arial"/>
          <w:b/>
          <w:bCs/>
        </w:rPr>
      </w:pPr>
      <w:r w:rsidRPr="00843070">
        <w:rPr>
          <w:rFonts w:ascii="Arial" w:eastAsia="Calibri" w:hAnsi="Arial" w:cs="Arial"/>
          <w:b/>
          <w:bCs/>
        </w:rPr>
        <w:t>по итогам 202</w:t>
      </w:r>
      <w:r w:rsidR="00D73447" w:rsidRPr="00843070">
        <w:rPr>
          <w:rFonts w:ascii="Arial" w:eastAsia="Calibri" w:hAnsi="Arial" w:cs="Arial"/>
          <w:b/>
          <w:bCs/>
        </w:rPr>
        <w:t>5</w:t>
      </w:r>
      <w:r w:rsidRPr="00843070">
        <w:rPr>
          <w:rFonts w:ascii="Arial" w:eastAsia="Calibri" w:hAnsi="Arial" w:cs="Arial"/>
          <w:b/>
          <w:bCs/>
        </w:rPr>
        <w:t xml:space="preserve"> года</w:t>
      </w:r>
    </w:p>
    <w:p w:rsidR="002F75C3" w:rsidRPr="00843070" w:rsidRDefault="002F75C3" w:rsidP="002F75C3">
      <w:pPr>
        <w:jc w:val="center"/>
        <w:rPr>
          <w:rFonts w:ascii="Arial" w:hAnsi="Arial" w:cs="Arial"/>
        </w:rPr>
      </w:pPr>
    </w:p>
    <w:p w:rsidR="0051322B" w:rsidRPr="00843070" w:rsidRDefault="0051322B" w:rsidP="002F75C3">
      <w:pPr>
        <w:ind w:firstLine="709"/>
        <w:jc w:val="both"/>
        <w:rPr>
          <w:rFonts w:ascii="Arial" w:hAnsi="Arial" w:cs="Arial"/>
        </w:rPr>
      </w:pPr>
      <w:r w:rsidRPr="00843070">
        <w:rPr>
          <w:rFonts w:ascii="Arial" w:eastAsia="Calibri" w:hAnsi="Arial" w:cs="Arial"/>
          <w:lang w:eastAsia="en-US"/>
        </w:rPr>
        <w:t xml:space="preserve">Заслушав информацию </w:t>
      </w:r>
      <w:r w:rsidR="001A11BA" w:rsidRPr="00843070">
        <w:rPr>
          <w:rFonts w:ascii="Arial" w:eastAsia="Calibri" w:hAnsi="Arial" w:cs="Arial"/>
          <w:lang w:eastAsia="en-US"/>
        </w:rPr>
        <w:t>о</w:t>
      </w:r>
      <w:r w:rsidR="001A11BA" w:rsidRPr="00843070">
        <w:rPr>
          <w:rFonts w:ascii="Arial" w:hAnsi="Arial" w:cs="Arial"/>
          <w:bCs/>
        </w:rPr>
        <w:t xml:space="preserve"> социально-экономическом развитии </w:t>
      </w:r>
      <w:r w:rsidR="001A11BA" w:rsidRPr="00843070">
        <w:rPr>
          <w:rFonts w:ascii="Arial" w:eastAsia="Calibri" w:hAnsi="Arial" w:cs="Arial"/>
          <w:bCs/>
        </w:rPr>
        <w:t>муниципального образования «</w:t>
      </w:r>
      <w:r w:rsidR="00182BE4" w:rsidRPr="00843070">
        <w:rPr>
          <w:rFonts w:ascii="Arial" w:eastAsia="Calibri" w:hAnsi="Arial" w:cs="Arial"/>
          <w:bCs/>
        </w:rPr>
        <w:t>Тайгинский городской округ Кемеровской области</w:t>
      </w:r>
      <w:r w:rsidR="002F75C3" w:rsidRPr="00843070">
        <w:rPr>
          <w:rFonts w:ascii="Arial" w:eastAsia="Calibri" w:hAnsi="Arial" w:cs="Arial"/>
          <w:bCs/>
        </w:rPr>
        <w:t xml:space="preserve"> </w:t>
      </w:r>
      <w:r w:rsidR="00182BE4" w:rsidRPr="00843070">
        <w:rPr>
          <w:rFonts w:ascii="Arial" w:eastAsia="Calibri" w:hAnsi="Arial" w:cs="Arial"/>
          <w:bCs/>
        </w:rPr>
        <w:t>-</w:t>
      </w:r>
      <w:r w:rsidR="002F75C3" w:rsidRPr="00843070">
        <w:rPr>
          <w:rFonts w:ascii="Arial" w:eastAsia="Calibri" w:hAnsi="Arial" w:cs="Arial"/>
          <w:bCs/>
        </w:rPr>
        <w:t xml:space="preserve"> </w:t>
      </w:r>
      <w:r w:rsidR="00182BE4" w:rsidRPr="00843070">
        <w:rPr>
          <w:rFonts w:ascii="Arial" w:eastAsia="Calibri" w:hAnsi="Arial" w:cs="Arial"/>
          <w:bCs/>
        </w:rPr>
        <w:t>Кузбасса</w:t>
      </w:r>
      <w:r w:rsidR="003D43F9" w:rsidRPr="00843070">
        <w:rPr>
          <w:rFonts w:ascii="Arial" w:eastAsia="Calibri" w:hAnsi="Arial" w:cs="Arial"/>
          <w:bCs/>
        </w:rPr>
        <w:t>» по итогам 202</w:t>
      </w:r>
      <w:r w:rsidR="00D73447" w:rsidRPr="00843070">
        <w:rPr>
          <w:rFonts w:ascii="Arial" w:eastAsia="Calibri" w:hAnsi="Arial" w:cs="Arial"/>
          <w:bCs/>
        </w:rPr>
        <w:t>5</w:t>
      </w:r>
      <w:r w:rsidR="001A11BA" w:rsidRPr="00843070">
        <w:rPr>
          <w:rFonts w:ascii="Arial" w:eastAsia="Calibri" w:hAnsi="Arial" w:cs="Arial"/>
          <w:bCs/>
        </w:rPr>
        <w:t xml:space="preserve"> года</w:t>
      </w:r>
      <w:r w:rsidRPr="00843070">
        <w:rPr>
          <w:rFonts w:ascii="Arial" w:eastAsia="Calibri" w:hAnsi="Arial" w:cs="Arial"/>
          <w:lang w:eastAsia="en-US"/>
        </w:rPr>
        <w:t xml:space="preserve">, руководствуясь Федеральным законом </w:t>
      </w:r>
      <w:r w:rsidR="00D73447" w:rsidRPr="00843070">
        <w:rPr>
          <w:rFonts w:ascii="Arial" w:hAnsi="Arial" w:cs="Arial"/>
        </w:rPr>
        <w:t>от 20.03.2025 № 33-ФЗ «Об общих принципах организации местного самоуправления в единой системе публичной власти»</w:t>
      </w:r>
      <w:r w:rsidRPr="00843070">
        <w:rPr>
          <w:rFonts w:ascii="Arial" w:eastAsia="Calibri" w:hAnsi="Arial" w:cs="Arial"/>
          <w:lang w:eastAsia="en-US"/>
        </w:rPr>
        <w:t>, Уставом</w:t>
      </w:r>
      <w:r w:rsidRPr="00843070">
        <w:rPr>
          <w:rFonts w:ascii="Arial" w:hAnsi="Arial" w:cs="Arial"/>
        </w:rPr>
        <w:t xml:space="preserve"> </w:t>
      </w:r>
      <w:r w:rsidR="00182BE4" w:rsidRPr="00843070">
        <w:rPr>
          <w:rFonts w:ascii="Arial" w:hAnsi="Arial" w:cs="Arial"/>
        </w:rPr>
        <w:t>муниципального образования «</w:t>
      </w:r>
      <w:r w:rsidR="00182BE4" w:rsidRPr="00843070">
        <w:rPr>
          <w:rFonts w:ascii="Arial" w:eastAsia="Calibri" w:hAnsi="Arial" w:cs="Arial"/>
          <w:bCs/>
        </w:rPr>
        <w:t>Тайгинский городской округ Кемеровской области</w:t>
      </w:r>
      <w:r w:rsidR="002F75C3" w:rsidRPr="00843070">
        <w:rPr>
          <w:rFonts w:ascii="Arial" w:eastAsia="Calibri" w:hAnsi="Arial" w:cs="Arial"/>
          <w:bCs/>
        </w:rPr>
        <w:t xml:space="preserve"> </w:t>
      </w:r>
      <w:r w:rsidR="00182BE4" w:rsidRPr="00843070">
        <w:rPr>
          <w:rFonts w:ascii="Arial" w:eastAsia="Calibri" w:hAnsi="Arial" w:cs="Arial"/>
          <w:bCs/>
        </w:rPr>
        <w:t>-</w:t>
      </w:r>
      <w:r w:rsidR="002F75C3" w:rsidRPr="00843070">
        <w:rPr>
          <w:rFonts w:ascii="Arial" w:eastAsia="Calibri" w:hAnsi="Arial" w:cs="Arial"/>
          <w:bCs/>
        </w:rPr>
        <w:t xml:space="preserve"> </w:t>
      </w:r>
      <w:r w:rsidR="00182BE4" w:rsidRPr="00843070">
        <w:rPr>
          <w:rFonts w:ascii="Arial" w:eastAsia="Calibri" w:hAnsi="Arial" w:cs="Arial"/>
          <w:bCs/>
        </w:rPr>
        <w:t>Кузбасса»</w:t>
      </w:r>
      <w:r w:rsidRPr="00843070">
        <w:rPr>
          <w:rFonts w:ascii="Arial" w:hAnsi="Arial" w:cs="Arial"/>
        </w:rPr>
        <w:t>, Совет народных депутатов Тайгинского городского округа</w:t>
      </w:r>
    </w:p>
    <w:p w:rsidR="0051322B" w:rsidRPr="00843070" w:rsidRDefault="0051322B" w:rsidP="0051322B">
      <w:pPr>
        <w:jc w:val="both"/>
        <w:rPr>
          <w:rFonts w:ascii="Arial" w:hAnsi="Arial" w:cs="Arial"/>
        </w:rPr>
      </w:pPr>
    </w:p>
    <w:p w:rsidR="0051322B" w:rsidRPr="00843070" w:rsidRDefault="0051322B" w:rsidP="0051322B">
      <w:pPr>
        <w:jc w:val="center"/>
        <w:rPr>
          <w:rFonts w:ascii="Arial" w:hAnsi="Arial" w:cs="Arial"/>
        </w:rPr>
      </w:pPr>
      <w:r w:rsidRPr="00843070">
        <w:rPr>
          <w:rFonts w:ascii="Arial" w:hAnsi="Arial" w:cs="Arial"/>
          <w:b/>
        </w:rPr>
        <w:t>РЕШИЛ:</w:t>
      </w:r>
      <w:r w:rsidRPr="00843070">
        <w:rPr>
          <w:rFonts w:ascii="Arial" w:hAnsi="Arial" w:cs="Arial"/>
        </w:rPr>
        <w:t xml:space="preserve"> </w:t>
      </w:r>
    </w:p>
    <w:p w:rsidR="0051322B" w:rsidRPr="00843070" w:rsidRDefault="0051322B" w:rsidP="0051322B">
      <w:pPr>
        <w:pStyle w:val="ConsPlusTitle"/>
        <w:ind w:firstLine="709"/>
        <w:jc w:val="both"/>
        <w:rPr>
          <w:b w:val="0"/>
          <w:sz w:val="24"/>
          <w:szCs w:val="24"/>
        </w:rPr>
      </w:pPr>
      <w:r w:rsidRPr="00843070">
        <w:rPr>
          <w:b w:val="0"/>
          <w:sz w:val="24"/>
          <w:szCs w:val="24"/>
        </w:rPr>
        <w:t>1. И</w:t>
      </w:r>
      <w:r w:rsidR="001A11BA" w:rsidRPr="00843070">
        <w:rPr>
          <w:rFonts w:eastAsia="Calibri"/>
          <w:b w:val="0"/>
          <w:sz w:val="24"/>
          <w:szCs w:val="24"/>
          <w:lang w:eastAsia="en-US"/>
        </w:rPr>
        <w:t xml:space="preserve">нформацию </w:t>
      </w:r>
      <w:r w:rsidR="00182BE4" w:rsidRPr="00843070">
        <w:rPr>
          <w:rFonts w:eastAsia="Calibri"/>
          <w:b w:val="0"/>
          <w:sz w:val="24"/>
          <w:szCs w:val="24"/>
          <w:lang w:eastAsia="en-US"/>
        </w:rPr>
        <w:t>о</w:t>
      </w:r>
      <w:r w:rsidR="00182BE4" w:rsidRPr="00843070">
        <w:rPr>
          <w:b w:val="0"/>
          <w:sz w:val="24"/>
          <w:szCs w:val="24"/>
        </w:rPr>
        <w:t xml:space="preserve"> социально-экономическом развитии </w:t>
      </w:r>
      <w:r w:rsidR="00182BE4" w:rsidRPr="00843070">
        <w:rPr>
          <w:rFonts w:eastAsia="Calibri"/>
          <w:b w:val="0"/>
          <w:sz w:val="24"/>
          <w:szCs w:val="24"/>
        </w:rPr>
        <w:t>муниципального образования «Тайгинский городской округ</w:t>
      </w:r>
      <w:r w:rsidR="00182BE4" w:rsidRPr="00843070">
        <w:rPr>
          <w:rFonts w:eastAsia="Calibri"/>
          <w:b w:val="0"/>
          <w:bCs w:val="0"/>
          <w:sz w:val="24"/>
          <w:szCs w:val="24"/>
        </w:rPr>
        <w:t xml:space="preserve"> Кемеровской области</w:t>
      </w:r>
      <w:r w:rsidR="002F75C3" w:rsidRPr="00843070">
        <w:rPr>
          <w:rFonts w:eastAsia="Calibri"/>
          <w:b w:val="0"/>
          <w:bCs w:val="0"/>
          <w:sz w:val="24"/>
          <w:szCs w:val="24"/>
        </w:rPr>
        <w:t xml:space="preserve"> </w:t>
      </w:r>
      <w:r w:rsidR="00182BE4" w:rsidRPr="00843070">
        <w:rPr>
          <w:rFonts w:eastAsia="Calibri"/>
          <w:b w:val="0"/>
          <w:bCs w:val="0"/>
          <w:sz w:val="24"/>
          <w:szCs w:val="24"/>
        </w:rPr>
        <w:t>-</w:t>
      </w:r>
      <w:r w:rsidR="002F75C3" w:rsidRPr="00843070">
        <w:rPr>
          <w:rFonts w:eastAsia="Calibri"/>
          <w:b w:val="0"/>
          <w:bCs w:val="0"/>
          <w:sz w:val="24"/>
          <w:szCs w:val="24"/>
        </w:rPr>
        <w:t xml:space="preserve"> </w:t>
      </w:r>
      <w:r w:rsidR="00182BE4" w:rsidRPr="00843070">
        <w:rPr>
          <w:rFonts w:eastAsia="Calibri"/>
          <w:b w:val="0"/>
          <w:bCs w:val="0"/>
          <w:sz w:val="24"/>
          <w:szCs w:val="24"/>
        </w:rPr>
        <w:t>Кузбасса</w:t>
      </w:r>
      <w:r w:rsidR="00182BE4" w:rsidRPr="00843070">
        <w:rPr>
          <w:rFonts w:eastAsia="Calibri"/>
          <w:b w:val="0"/>
          <w:sz w:val="24"/>
          <w:szCs w:val="24"/>
        </w:rPr>
        <w:t>»</w:t>
      </w:r>
      <w:r w:rsidR="003D43F9" w:rsidRPr="00843070">
        <w:rPr>
          <w:rFonts w:eastAsia="Calibri"/>
          <w:b w:val="0"/>
          <w:sz w:val="24"/>
          <w:szCs w:val="24"/>
        </w:rPr>
        <w:t xml:space="preserve"> по итогам 202</w:t>
      </w:r>
      <w:r w:rsidR="00D73447" w:rsidRPr="00843070">
        <w:rPr>
          <w:rFonts w:eastAsia="Calibri"/>
          <w:b w:val="0"/>
          <w:sz w:val="24"/>
          <w:szCs w:val="24"/>
        </w:rPr>
        <w:t>5</w:t>
      </w:r>
      <w:r w:rsidR="001A11BA" w:rsidRPr="00843070">
        <w:rPr>
          <w:rFonts w:eastAsia="Calibri"/>
          <w:b w:val="0"/>
          <w:sz w:val="24"/>
          <w:szCs w:val="24"/>
        </w:rPr>
        <w:t xml:space="preserve"> года</w:t>
      </w:r>
      <w:r w:rsidR="001A11BA" w:rsidRPr="00843070">
        <w:rPr>
          <w:b w:val="0"/>
          <w:bCs w:val="0"/>
          <w:color w:val="222222"/>
          <w:sz w:val="24"/>
          <w:szCs w:val="24"/>
          <w:shd w:val="clear" w:color="auto" w:fill="FFFFFF"/>
        </w:rPr>
        <w:t xml:space="preserve"> </w:t>
      </w:r>
      <w:r w:rsidRPr="00843070">
        <w:rPr>
          <w:b w:val="0"/>
          <w:bCs w:val="0"/>
          <w:color w:val="222222"/>
          <w:sz w:val="24"/>
          <w:szCs w:val="24"/>
          <w:shd w:val="clear" w:color="auto" w:fill="FFFFFF"/>
        </w:rPr>
        <w:t>п</w:t>
      </w:r>
      <w:r w:rsidRPr="00843070">
        <w:rPr>
          <w:b w:val="0"/>
          <w:sz w:val="24"/>
          <w:szCs w:val="24"/>
        </w:rPr>
        <w:t xml:space="preserve">ринять к сведению. </w:t>
      </w:r>
    </w:p>
    <w:p w:rsidR="00D73447" w:rsidRPr="00843070" w:rsidRDefault="0051322B" w:rsidP="00D73447">
      <w:pPr>
        <w:pStyle w:val="a5"/>
        <w:tabs>
          <w:tab w:val="left" w:pos="993"/>
        </w:tabs>
        <w:ind w:firstLine="709"/>
        <w:jc w:val="both"/>
        <w:rPr>
          <w:rFonts w:ascii="Arial" w:hAnsi="Arial" w:cs="Arial"/>
          <w:sz w:val="24"/>
          <w:szCs w:val="24"/>
        </w:rPr>
      </w:pPr>
      <w:r w:rsidRPr="00843070">
        <w:rPr>
          <w:rFonts w:ascii="Arial" w:hAnsi="Arial" w:cs="Arial"/>
          <w:sz w:val="24"/>
          <w:szCs w:val="24"/>
        </w:rPr>
        <w:t xml:space="preserve">2. </w:t>
      </w:r>
      <w:r w:rsidR="00D73447" w:rsidRPr="00843070">
        <w:rPr>
          <w:rFonts w:ascii="Arial" w:hAnsi="Arial" w:cs="Arial"/>
          <w:sz w:val="24"/>
          <w:szCs w:val="24"/>
        </w:rPr>
        <w:t>Настоящее решение разместить на официальном сайте Совета народных депутатов Тайгинского городского округа в информационно-телекоммуникационной сети «Интернет».</w:t>
      </w:r>
    </w:p>
    <w:p w:rsidR="0051322B" w:rsidRPr="00843070" w:rsidRDefault="0051322B" w:rsidP="00552242">
      <w:pPr>
        <w:widowControl w:val="0"/>
        <w:tabs>
          <w:tab w:val="left" w:pos="993"/>
        </w:tabs>
        <w:autoSpaceDE w:val="0"/>
        <w:autoSpaceDN w:val="0"/>
        <w:adjustRightInd w:val="0"/>
        <w:ind w:firstLine="709"/>
        <w:jc w:val="both"/>
        <w:rPr>
          <w:rFonts w:ascii="Arial" w:hAnsi="Arial" w:cs="Arial"/>
        </w:rPr>
      </w:pPr>
      <w:r w:rsidRPr="00843070">
        <w:rPr>
          <w:rFonts w:ascii="Arial" w:hAnsi="Arial" w:cs="Arial"/>
        </w:rPr>
        <w:t>3. Контроль за исполнением настоящего решения возложить на комиссию Совета народных депутатов Тайгинского городского округа по экономике, финансам и предпринимательству (Е.И. Селиванов).</w:t>
      </w:r>
    </w:p>
    <w:p w:rsidR="007624ED" w:rsidRPr="00843070" w:rsidRDefault="007624ED" w:rsidP="00090900">
      <w:pPr>
        <w:widowControl w:val="0"/>
        <w:autoSpaceDE w:val="0"/>
        <w:autoSpaceDN w:val="0"/>
        <w:adjustRightInd w:val="0"/>
        <w:ind w:firstLine="709"/>
        <w:jc w:val="both"/>
        <w:rPr>
          <w:rFonts w:ascii="Arial" w:hAnsi="Arial" w:cs="Arial"/>
        </w:rPr>
      </w:pPr>
    </w:p>
    <w:p w:rsidR="008B7A51" w:rsidRPr="00843070" w:rsidRDefault="008B7A51" w:rsidP="008B7A51">
      <w:pPr>
        <w:pStyle w:val="a3"/>
        <w:ind w:firstLine="709"/>
        <w:rPr>
          <w:rFonts w:ascii="Arial" w:hAnsi="Arial" w:cs="Arial"/>
        </w:rPr>
      </w:pPr>
    </w:p>
    <w:p w:rsidR="001A11BA" w:rsidRPr="00843070" w:rsidRDefault="001A11BA" w:rsidP="008B7A51">
      <w:pPr>
        <w:pStyle w:val="a3"/>
        <w:ind w:firstLine="709"/>
        <w:rPr>
          <w:rFonts w:ascii="Arial" w:hAnsi="Arial" w:cs="Arial"/>
        </w:rPr>
      </w:pPr>
    </w:p>
    <w:p w:rsidR="007624ED" w:rsidRPr="00843070" w:rsidRDefault="007624ED" w:rsidP="007624ED">
      <w:pPr>
        <w:ind w:left="705"/>
        <w:jc w:val="both"/>
        <w:rPr>
          <w:rFonts w:ascii="Arial" w:hAnsi="Arial" w:cs="Arial"/>
        </w:rPr>
      </w:pPr>
      <w:r w:rsidRPr="00843070">
        <w:rPr>
          <w:rFonts w:ascii="Arial" w:hAnsi="Arial" w:cs="Arial"/>
        </w:rPr>
        <w:t xml:space="preserve">Председатель Совета </w:t>
      </w:r>
      <w:r w:rsidR="00C34B5B" w:rsidRPr="00843070">
        <w:rPr>
          <w:rFonts w:ascii="Arial" w:hAnsi="Arial" w:cs="Arial"/>
        </w:rPr>
        <w:t xml:space="preserve">                                                </w:t>
      </w:r>
      <w:r w:rsidR="00B13F7B" w:rsidRPr="00843070">
        <w:rPr>
          <w:rFonts w:ascii="Arial" w:hAnsi="Arial" w:cs="Arial"/>
        </w:rPr>
        <w:t xml:space="preserve">          </w:t>
      </w:r>
      <w:r w:rsidRPr="00843070">
        <w:rPr>
          <w:rFonts w:ascii="Arial" w:hAnsi="Arial" w:cs="Arial"/>
        </w:rPr>
        <w:t xml:space="preserve">В.М. Басманов       </w:t>
      </w:r>
    </w:p>
    <w:p w:rsidR="00287899" w:rsidRPr="00843070" w:rsidRDefault="00287899" w:rsidP="00307894">
      <w:pPr>
        <w:jc w:val="both"/>
        <w:rPr>
          <w:rFonts w:ascii="Arial" w:hAnsi="Arial" w:cs="Arial"/>
        </w:rPr>
      </w:pPr>
    </w:p>
    <w:p w:rsidR="00AA06A3" w:rsidRPr="00843070" w:rsidRDefault="001306AD" w:rsidP="001306AD">
      <w:pPr>
        <w:tabs>
          <w:tab w:val="left" w:pos="708"/>
          <w:tab w:val="left" w:pos="1416"/>
          <w:tab w:val="left" w:pos="2124"/>
          <w:tab w:val="left" w:pos="2832"/>
          <w:tab w:val="left" w:pos="3540"/>
          <w:tab w:val="left" w:pos="4248"/>
          <w:tab w:val="left" w:pos="4956"/>
          <w:tab w:val="left" w:pos="5664"/>
          <w:tab w:val="left" w:pos="6372"/>
          <w:tab w:val="left" w:pos="8055"/>
        </w:tabs>
        <w:jc w:val="both"/>
        <w:rPr>
          <w:rFonts w:ascii="Arial" w:hAnsi="Arial" w:cs="Arial"/>
        </w:rPr>
      </w:pPr>
      <w:r w:rsidRPr="00843070">
        <w:rPr>
          <w:rFonts w:ascii="Arial" w:hAnsi="Arial" w:cs="Arial"/>
        </w:rPr>
        <w:tab/>
      </w:r>
      <w:r w:rsidRPr="00843070">
        <w:rPr>
          <w:rFonts w:ascii="Arial" w:hAnsi="Arial" w:cs="Arial"/>
        </w:rPr>
        <w:tab/>
      </w:r>
      <w:r w:rsidRPr="00843070">
        <w:rPr>
          <w:rFonts w:ascii="Arial" w:hAnsi="Arial" w:cs="Arial"/>
        </w:rPr>
        <w:tab/>
      </w:r>
    </w:p>
    <w:p w:rsidR="008657BB" w:rsidRPr="00843070" w:rsidRDefault="008657BB" w:rsidP="00307894">
      <w:pPr>
        <w:jc w:val="both"/>
        <w:rPr>
          <w:rFonts w:ascii="Arial" w:hAnsi="Arial" w:cs="Arial"/>
        </w:rPr>
      </w:pPr>
    </w:p>
    <w:p w:rsidR="0049093E" w:rsidRPr="00843070" w:rsidRDefault="0049093E" w:rsidP="00307894">
      <w:pPr>
        <w:jc w:val="both"/>
        <w:rPr>
          <w:rFonts w:ascii="Arial" w:hAnsi="Arial" w:cs="Arial"/>
        </w:rPr>
      </w:pPr>
    </w:p>
    <w:p w:rsidR="0049093E" w:rsidRPr="00843070" w:rsidRDefault="0049093E" w:rsidP="00307894">
      <w:pPr>
        <w:jc w:val="both"/>
        <w:rPr>
          <w:rFonts w:ascii="Arial" w:hAnsi="Arial" w:cs="Arial"/>
        </w:rPr>
      </w:pPr>
    </w:p>
    <w:p w:rsidR="00135AA6" w:rsidRPr="00843070" w:rsidRDefault="00135AA6" w:rsidP="00307894">
      <w:pPr>
        <w:jc w:val="both"/>
        <w:rPr>
          <w:rFonts w:ascii="Arial" w:hAnsi="Arial" w:cs="Arial"/>
        </w:rPr>
      </w:pPr>
    </w:p>
    <w:p w:rsidR="00135AA6" w:rsidRPr="00843070" w:rsidRDefault="00135AA6" w:rsidP="00307894">
      <w:pPr>
        <w:jc w:val="both"/>
        <w:rPr>
          <w:rFonts w:ascii="Arial" w:hAnsi="Arial" w:cs="Arial"/>
        </w:rPr>
      </w:pPr>
    </w:p>
    <w:p w:rsidR="00135AA6" w:rsidRPr="00843070" w:rsidRDefault="00135AA6" w:rsidP="00307894">
      <w:pPr>
        <w:jc w:val="both"/>
        <w:rPr>
          <w:rFonts w:ascii="Arial" w:hAnsi="Arial" w:cs="Arial"/>
        </w:rPr>
      </w:pPr>
    </w:p>
    <w:p w:rsidR="00135AA6" w:rsidRPr="00843070" w:rsidRDefault="00135AA6" w:rsidP="00307894">
      <w:pPr>
        <w:jc w:val="both"/>
        <w:rPr>
          <w:rFonts w:ascii="Arial" w:hAnsi="Arial" w:cs="Arial"/>
        </w:rPr>
      </w:pPr>
    </w:p>
    <w:p w:rsidR="001A11BA" w:rsidRPr="00843070" w:rsidRDefault="001A11BA" w:rsidP="002F75C3">
      <w:pPr>
        <w:jc w:val="both"/>
        <w:rPr>
          <w:rFonts w:ascii="Arial" w:hAnsi="Arial" w:cs="Arial"/>
        </w:rPr>
      </w:pPr>
    </w:p>
    <w:p w:rsidR="002F75C3" w:rsidRPr="00843070" w:rsidRDefault="002F75C3" w:rsidP="002F75C3">
      <w:pPr>
        <w:ind w:firstLine="708"/>
        <w:jc w:val="both"/>
        <w:rPr>
          <w:rFonts w:ascii="Arial" w:hAnsi="Arial" w:cs="Arial"/>
        </w:rPr>
      </w:pPr>
    </w:p>
    <w:p w:rsidR="003D43F9" w:rsidRPr="00843070" w:rsidRDefault="003D43F9" w:rsidP="002F75C3">
      <w:pPr>
        <w:ind w:firstLine="708"/>
        <w:jc w:val="both"/>
        <w:rPr>
          <w:rFonts w:ascii="Arial" w:hAnsi="Arial" w:cs="Arial"/>
        </w:rPr>
      </w:pPr>
    </w:p>
    <w:p w:rsidR="003D43F9" w:rsidRPr="00843070" w:rsidRDefault="003D43F9" w:rsidP="002F75C3">
      <w:pPr>
        <w:ind w:firstLine="708"/>
        <w:jc w:val="both"/>
        <w:rPr>
          <w:rFonts w:ascii="Arial" w:hAnsi="Arial" w:cs="Arial"/>
        </w:rPr>
      </w:pPr>
    </w:p>
    <w:p w:rsidR="002F75C3" w:rsidRPr="00843070" w:rsidRDefault="002F75C3" w:rsidP="002F75C3">
      <w:pPr>
        <w:ind w:firstLine="708"/>
        <w:jc w:val="both"/>
        <w:rPr>
          <w:rFonts w:ascii="Arial" w:hAnsi="Arial" w:cs="Arial"/>
        </w:rPr>
      </w:pPr>
    </w:p>
    <w:p w:rsidR="00D73447" w:rsidRPr="00843070" w:rsidRDefault="00D73447" w:rsidP="002F75C3">
      <w:pPr>
        <w:ind w:firstLine="708"/>
        <w:jc w:val="both"/>
        <w:rPr>
          <w:rFonts w:ascii="Arial" w:hAnsi="Arial" w:cs="Arial"/>
        </w:rPr>
      </w:pPr>
    </w:p>
    <w:p w:rsidR="002F75C3" w:rsidRPr="00843070" w:rsidRDefault="002F75C3" w:rsidP="00357B80">
      <w:pPr>
        <w:jc w:val="center"/>
        <w:rPr>
          <w:rFonts w:ascii="Arial" w:eastAsia="Calibri" w:hAnsi="Arial" w:cs="Arial"/>
          <w:b/>
        </w:rPr>
      </w:pPr>
      <w:r w:rsidRPr="00843070">
        <w:rPr>
          <w:rFonts w:ascii="Arial" w:hAnsi="Arial" w:cs="Arial"/>
          <w:b/>
          <w:bCs/>
        </w:rPr>
        <w:lastRenderedPageBreak/>
        <w:t>Информация о социально-экономическом развитии</w:t>
      </w:r>
    </w:p>
    <w:p w:rsidR="003D43F9" w:rsidRPr="00843070" w:rsidRDefault="002F75C3" w:rsidP="00357B80">
      <w:pPr>
        <w:jc w:val="center"/>
        <w:rPr>
          <w:rFonts w:ascii="Arial" w:eastAsia="Calibri" w:hAnsi="Arial" w:cs="Arial"/>
          <w:b/>
          <w:bCs/>
        </w:rPr>
      </w:pPr>
      <w:r w:rsidRPr="00843070">
        <w:rPr>
          <w:rFonts w:ascii="Arial" w:eastAsia="Calibri" w:hAnsi="Arial" w:cs="Arial"/>
          <w:b/>
          <w:bCs/>
        </w:rPr>
        <w:t>муниципального образования «Тайгинский городской округ</w:t>
      </w:r>
    </w:p>
    <w:p w:rsidR="002F75C3" w:rsidRPr="00843070" w:rsidRDefault="002F75C3" w:rsidP="00357B80">
      <w:pPr>
        <w:jc w:val="center"/>
        <w:rPr>
          <w:rFonts w:ascii="Arial" w:eastAsia="Calibri" w:hAnsi="Arial" w:cs="Arial"/>
          <w:b/>
        </w:rPr>
      </w:pPr>
      <w:r w:rsidRPr="00843070">
        <w:rPr>
          <w:rFonts w:ascii="Arial" w:eastAsia="Calibri" w:hAnsi="Arial" w:cs="Arial"/>
          <w:b/>
          <w:bCs/>
        </w:rPr>
        <w:t>Кемеровской области - Кузбасса»</w:t>
      </w:r>
    </w:p>
    <w:p w:rsidR="002F75C3" w:rsidRPr="00843070" w:rsidRDefault="002F75C3" w:rsidP="00357B80">
      <w:pPr>
        <w:jc w:val="center"/>
        <w:rPr>
          <w:rFonts w:ascii="Arial" w:eastAsia="Calibri" w:hAnsi="Arial" w:cs="Arial"/>
          <w:b/>
        </w:rPr>
      </w:pPr>
      <w:r w:rsidRPr="00843070">
        <w:rPr>
          <w:rFonts w:ascii="Arial" w:eastAsia="Calibri" w:hAnsi="Arial" w:cs="Arial"/>
          <w:b/>
          <w:bCs/>
        </w:rPr>
        <w:t>по итогам 202</w:t>
      </w:r>
      <w:r w:rsidR="00D73447" w:rsidRPr="00843070">
        <w:rPr>
          <w:rFonts w:ascii="Arial" w:eastAsia="Calibri" w:hAnsi="Arial" w:cs="Arial"/>
          <w:b/>
          <w:bCs/>
        </w:rPr>
        <w:t>5</w:t>
      </w:r>
      <w:r w:rsidR="003D43F9" w:rsidRPr="00843070">
        <w:rPr>
          <w:rFonts w:ascii="Arial" w:eastAsia="Calibri" w:hAnsi="Arial" w:cs="Arial"/>
          <w:b/>
          <w:bCs/>
        </w:rPr>
        <w:t xml:space="preserve"> года</w:t>
      </w:r>
    </w:p>
    <w:p w:rsidR="002F75C3" w:rsidRPr="00843070" w:rsidRDefault="002F75C3" w:rsidP="00D73447">
      <w:pPr>
        <w:ind w:firstLine="709"/>
        <w:jc w:val="center"/>
        <w:rPr>
          <w:rFonts w:ascii="Arial" w:hAnsi="Arial" w:cs="Arial"/>
          <w:b/>
        </w:rPr>
      </w:pPr>
    </w:p>
    <w:p w:rsidR="00913A15" w:rsidRPr="00913A15" w:rsidRDefault="00913A15" w:rsidP="00913A15">
      <w:pPr>
        <w:ind w:firstLine="709"/>
        <w:jc w:val="both"/>
        <w:rPr>
          <w:rFonts w:ascii="Arial" w:hAnsi="Arial" w:cs="Arial"/>
        </w:rPr>
      </w:pPr>
      <w:r w:rsidRPr="00913A15">
        <w:rPr>
          <w:rFonts w:ascii="Arial" w:hAnsi="Arial" w:cs="Arial"/>
        </w:rPr>
        <w:t xml:space="preserve">Базовым сектором экономики, который определяет её экономическую специализацию, обеспечивает приток инвестиций в Тайгинский городской округ, формирует собственную доходную часть бюджета Тайгинского городского округа, являются предприятия железнодорожного транспорта, которые в среднесрочной перспективе будут и дальше составлять ядро экономики города. </w:t>
      </w:r>
    </w:p>
    <w:p w:rsidR="00913A15" w:rsidRPr="00913A15" w:rsidRDefault="00913A15" w:rsidP="00913A15">
      <w:pPr>
        <w:ind w:firstLine="709"/>
        <w:jc w:val="both"/>
        <w:rPr>
          <w:rFonts w:ascii="Arial" w:hAnsi="Arial" w:cs="Arial"/>
        </w:rPr>
      </w:pPr>
      <w:r w:rsidRPr="00913A15">
        <w:rPr>
          <w:rFonts w:ascii="Arial" w:hAnsi="Arial" w:cs="Arial"/>
        </w:rPr>
        <w:t xml:space="preserve">Среднесписочная численность работников железнодорожных организаций за 2025 год составила 3 510 человек. Доля численности работников градообразующей организации в среднесписочной численности работников всех организаций, осуществляющих деятельность на территории Тайгинского городского округа – 66,6%. </w:t>
      </w:r>
    </w:p>
    <w:p w:rsidR="00913A15" w:rsidRPr="00913A15" w:rsidRDefault="00913A15" w:rsidP="00913A15">
      <w:pPr>
        <w:tabs>
          <w:tab w:val="left" w:pos="709"/>
        </w:tabs>
        <w:ind w:firstLine="709"/>
        <w:jc w:val="both"/>
        <w:rPr>
          <w:rFonts w:ascii="Arial" w:hAnsi="Arial" w:cs="Arial"/>
          <w:color w:val="FF0000"/>
        </w:rPr>
      </w:pPr>
      <w:r w:rsidRPr="00913A15">
        <w:rPr>
          <w:rFonts w:ascii="Arial" w:hAnsi="Arial" w:cs="Arial"/>
        </w:rPr>
        <w:t>Среднемесячная заработная плата в муниципалитете за прошедший год составила 86 728 рублей, темп роста к прошлому году – 114,4%.</w:t>
      </w:r>
      <w:r w:rsidRPr="00913A15">
        <w:rPr>
          <w:rFonts w:ascii="Arial" w:hAnsi="Arial" w:cs="Arial"/>
          <w:color w:val="FF0000"/>
        </w:rPr>
        <w:t xml:space="preserve"> </w:t>
      </w:r>
    </w:p>
    <w:p w:rsidR="00913A15" w:rsidRPr="00913A15" w:rsidRDefault="00913A15" w:rsidP="00913A15">
      <w:pPr>
        <w:ind w:firstLine="709"/>
        <w:jc w:val="both"/>
        <w:rPr>
          <w:rFonts w:ascii="Arial" w:hAnsi="Arial" w:cs="Arial"/>
        </w:rPr>
      </w:pPr>
      <w:r w:rsidRPr="00913A15">
        <w:rPr>
          <w:rFonts w:ascii="Arial" w:hAnsi="Arial" w:cs="Arial"/>
        </w:rPr>
        <w:t xml:space="preserve">В отчетном году создано 86 новых рабочих мест на предприятиях и организациях города, </w:t>
      </w:r>
      <w:r w:rsidRPr="00913A15">
        <w:rPr>
          <w:rFonts w:ascii="Arial" w:hAnsi="Arial" w:cs="Arial"/>
          <w:color w:val="000000"/>
        </w:rPr>
        <w:t xml:space="preserve">в основном за счет сферы малого бизнеса. </w:t>
      </w:r>
    </w:p>
    <w:p w:rsidR="00913A15" w:rsidRPr="00913A15" w:rsidRDefault="00913A15" w:rsidP="00913A15">
      <w:pPr>
        <w:pStyle w:val="a3"/>
        <w:ind w:firstLine="709"/>
        <w:rPr>
          <w:rFonts w:ascii="Arial" w:hAnsi="Arial" w:cs="Arial"/>
        </w:rPr>
      </w:pPr>
      <w:r w:rsidRPr="00913A15">
        <w:rPr>
          <w:rFonts w:ascii="Arial" w:hAnsi="Arial" w:cs="Arial"/>
        </w:rPr>
        <w:t>Особенность бюджета Тайгинского городского округа – высокий дотационной уровень.</w:t>
      </w:r>
    </w:p>
    <w:p w:rsidR="00913A15" w:rsidRPr="00913A15" w:rsidRDefault="00913A15" w:rsidP="00913A15">
      <w:pPr>
        <w:ind w:firstLine="709"/>
        <w:jc w:val="both"/>
        <w:rPr>
          <w:rFonts w:ascii="Arial" w:hAnsi="Arial" w:cs="Arial"/>
          <w:bCs/>
        </w:rPr>
      </w:pPr>
      <w:r w:rsidRPr="00913A15">
        <w:rPr>
          <w:rFonts w:ascii="Arial" w:hAnsi="Arial" w:cs="Arial"/>
        </w:rPr>
        <w:t>Общая кредиторская задолженность организаций в Тайгинском городском округе составила 117,3 млн. рублей (в том числе задолженность поставщикам 106,5 млн. рублей), дебиторская задолженность организаций составила 65,7 млн. рублей, из неё задолженность покупателей 59,2 млн. рублей. Наибольший удельный вес в сумме кредиторской задолженности – задолженность поставщикам и подрядчикам за товары, работы и услуги.</w:t>
      </w:r>
    </w:p>
    <w:p w:rsidR="00913A15" w:rsidRPr="00913A15" w:rsidRDefault="00913A15" w:rsidP="00913A15">
      <w:pPr>
        <w:ind w:firstLine="709"/>
        <w:jc w:val="both"/>
        <w:rPr>
          <w:rFonts w:ascii="Arial" w:hAnsi="Arial" w:cs="Arial"/>
          <w:shd w:val="clear" w:color="auto" w:fill="FFFFFF"/>
        </w:rPr>
      </w:pPr>
      <w:r w:rsidRPr="00913A15">
        <w:rPr>
          <w:rFonts w:ascii="Arial" w:eastAsia="Calibri" w:hAnsi="Arial" w:cs="Arial"/>
        </w:rPr>
        <w:t>В данном докладе ежегодно представляли информацию о демографических показателях, но в настоящее время в</w:t>
      </w:r>
      <w:r w:rsidRPr="00913A15">
        <w:rPr>
          <w:rFonts w:ascii="Arial" w:hAnsi="Arial" w:cs="Arial"/>
          <w:shd w:val="clear" w:color="auto" w:fill="FFFFFF"/>
        </w:rPr>
        <w:t xml:space="preserve"> отношении информации о демографической ситуации за 2025 год </w:t>
      </w:r>
      <w:r w:rsidRPr="00913A15">
        <w:rPr>
          <w:rFonts w:ascii="Arial" w:hAnsi="Arial" w:cs="Arial"/>
        </w:rPr>
        <w:t>Правитель</w:t>
      </w:r>
      <w:r w:rsidRPr="00913A15">
        <w:rPr>
          <w:rFonts w:ascii="Arial" w:hAnsi="Arial" w:cs="Arial"/>
          <w:shd w:val="clear" w:color="auto" w:fill="FFFFFF"/>
        </w:rPr>
        <w:t>ством Российской Федерации принято решение о временном приостановлении ее предоставления и распространения в соответствии с ч. 10 ст. 5 Федерального закона от 29 ноября 2007 года № 282-ФЗ «Об официальном статистическом учете и системе государственной статистики в Российской Федерации». </w:t>
      </w:r>
    </w:p>
    <w:p w:rsidR="00913A15" w:rsidRPr="00913A15" w:rsidRDefault="00913A15" w:rsidP="00913A15">
      <w:pPr>
        <w:ind w:firstLine="709"/>
        <w:jc w:val="both"/>
        <w:rPr>
          <w:rFonts w:ascii="Arial" w:eastAsia="Arial Unicode MS" w:hAnsi="Arial" w:cs="Arial"/>
          <w:kern w:val="2"/>
          <w:lang w:eastAsia="zh-CN" w:bidi="hi-IN"/>
        </w:rPr>
      </w:pPr>
      <w:r w:rsidRPr="00913A15">
        <w:rPr>
          <w:rFonts w:ascii="Arial" w:eastAsia="Calibri" w:hAnsi="Arial" w:cs="Arial"/>
        </w:rPr>
        <w:t>И</w:t>
      </w:r>
      <w:r w:rsidRPr="00913A15">
        <w:rPr>
          <w:rFonts w:ascii="Arial" w:eastAsia="Arial Unicode MS" w:hAnsi="Arial" w:cs="Arial"/>
          <w:kern w:val="2"/>
          <w:lang w:eastAsia="zh-CN" w:bidi="hi-IN"/>
        </w:rPr>
        <w:t xml:space="preserve">нвестиционный проект </w:t>
      </w:r>
      <w:r w:rsidRPr="00913A15">
        <w:rPr>
          <w:rFonts w:ascii="Arial" w:hAnsi="Arial" w:cs="Arial"/>
        </w:rPr>
        <w:t xml:space="preserve">«Строительство ведомственной гостиницы» </w:t>
      </w:r>
      <w:r>
        <w:rPr>
          <w:rFonts w:ascii="Arial" w:hAnsi="Arial" w:cs="Arial"/>
        </w:rPr>
        <w:t xml:space="preserve">           </w:t>
      </w:r>
      <w:r w:rsidRPr="00913A15">
        <w:rPr>
          <w:rFonts w:ascii="Arial" w:hAnsi="Arial" w:cs="Arial"/>
        </w:rPr>
        <w:t>ОАО «РЖД», начатый в 2023 году, временно приостановлен по решению Совета директоров ОАО «РЖД», по причине отсутствия финансовых средств. Законсервирован на неопределенный срок.</w:t>
      </w:r>
    </w:p>
    <w:p w:rsidR="00913A15" w:rsidRPr="00913A15" w:rsidRDefault="00913A15" w:rsidP="00913A15">
      <w:pPr>
        <w:ind w:firstLine="709"/>
        <w:jc w:val="both"/>
        <w:rPr>
          <w:rFonts w:ascii="Arial" w:hAnsi="Arial" w:cs="Arial"/>
        </w:rPr>
      </w:pPr>
      <w:r w:rsidRPr="00913A15">
        <w:rPr>
          <w:rFonts w:ascii="Arial" w:hAnsi="Arial" w:cs="Arial"/>
        </w:rPr>
        <w:t>Имеются возможные к реализации на территории Тайгинского городского округа долгосрочные инвестиционные проекты, такие как «Производство композитных материалов из глинистого сланца», «Строительство автодороги Томск – Тайга», «Строительство мультимодального межрегионального логистического центра»  (реализация при условии финансирования вышестоящих бюджетов, газификации муниципалитета).</w:t>
      </w:r>
    </w:p>
    <w:p w:rsidR="00913A15" w:rsidRPr="00913A15" w:rsidRDefault="00913A15" w:rsidP="00913A15">
      <w:pPr>
        <w:ind w:firstLine="709"/>
        <w:jc w:val="both"/>
        <w:rPr>
          <w:rFonts w:ascii="Arial" w:hAnsi="Arial" w:cs="Arial"/>
        </w:rPr>
      </w:pPr>
      <w:r w:rsidRPr="00913A15">
        <w:rPr>
          <w:rFonts w:ascii="Arial" w:hAnsi="Arial" w:cs="Arial"/>
        </w:rPr>
        <w:t xml:space="preserve">Проводятся мероприятия по созданию инвестиционной привлекательности, в том числе ежегодно обновляется инвестиционный паспорт, рубрика «инвестору» на официальном сайте администрации, оказывается  информационная поддержка. </w:t>
      </w:r>
    </w:p>
    <w:p w:rsidR="00913A15" w:rsidRPr="00913A15" w:rsidRDefault="00913A15" w:rsidP="00913A15">
      <w:pPr>
        <w:pStyle w:val="Textbody"/>
        <w:widowControl/>
        <w:ind w:firstLine="709"/>
        <w:rPr>
          <w:rFonts w:ascii="Arial" w:hAnsi="Arial" w:cs="Arial"/>
          <w:sz w:val="24"/>
        </w:rPr>
      </w:pPr>
      <w:r w:rsidRPr="00913A15">
        <w:rPr>
          <w:rStyle w:val="StrongEmphasis"/>
          <w:rFonts w:ascii="Arial" w:hAnsi="Arial" w:cs="Arial"/>
          <w:color w:val="000000"/>
          <w:sz w:val="24"/>
        </w:rPr>
        <w:t>В 2025 году в России запущены 20-ть новых национальных проектов</w:t>
      </w:r>
      <w:r w:rsidRPr="00913A15">
        <w:rPr>
          <w:rFonts w:ascii="Arial" w:hAnsi="Arial" w:cs="Arial"/>
          <w:b/>
          <w:color w:val="000000"/>
          <w:sz w:val="24"/>
        </w:rPr>
        <w:t>.</w:t>
      </w:r>
      <w:r w:rsidRPr="00913A15">
        <w:rPr>
          <w:rFonts w:ascii="Arial" w:hAnsi="Arial" w:cs="Arial"/>
          <w:color w:val="000000"/>
          <w:sz w:val="24"/>
        </w:rPr>
        <w:t xml:space="preserve"> </w:t>
      </w:r>
      <w:r w:rsidRPr="00913A15">
        <w:rPr>
          <w:rFonts w:ascii="Arial" w:hAnsi="Arial" w:cs="Arial"/>
          <w:sz w:val="24"/>
        </w:rPr>
        <w:t xml:space="preserve">Муниципалитет принимает участие в 12-ти региональных проектах и 7-ми национальных, таких как: «Молодежь и дети», «Продолжительная и активная жизнь», «Семья», «Кадры», «Экономика данных и цифровая трансформация государства», «Эффективная и конкурентная экономика», «Инфраструктура для жизни». За 2025 </w:t>
      </w:r>
      <w:r w:rsidRPr="00913A15">
        <w:rPr>
          <w:rFonts w:ascii="Arial" w:hAnsi="Arial" w:cs="Arial"/>
          <w:sz w:val="24"/>
        </w:rPr>
        <w:lastRenderedPageBreak/>
        <w:t>год на реализацию проектов выделено из вышестоящих бюджетов 30,9 млн. рублей, что составило 92,5% от плана (запланировано 33,4 млн. руб.). Заключено 11 контрактов на реализацию национальных проектов.</w:t>
      </w:r>
    </w:p>
    <w:p w:rsidR="00913A15" w:rsidRPr="00913A15" w:rsidRDefault="00913A15" w:rsidP="00913A15">
      <w:pPr>
        <w:ind w:firstLine="709"/>
        <w:jc w:val="both"/>
        <w:rPr>
          <w:rFonts w:ascii="Arial" w:hAnsi="Arial" w:cs="Arial"/>
        </w:rPr>
      </w:pPr>
      <w:r w:rsidRPr="00913A15">
        <w:rPr>
          <w:rFonts w:ascii="Arial" w:hAnsi="Arial" w:cs="Arial"/>
        </w:rPr>
        <w:t>Промышленность Тайгинского городского округа представлена предприятиями по производству и распределению электроэнергии, газа и воды, легкой промышленности, машиностроения, металлообработки и деревообработки.</w:t>
      </w:r>
      <w:r w:rsidRPr="00913A15">
        <w:rPr>
          <w:rFonts w:ascii="Arial" w:hAnsi="Arial" w:cs="Arial"/>
          <w:color w:val="1C1C1C"/>
        </w:rPr>
        <w:t xml:space="preserve"> </w:t>
      </w:r>
    </w:p>
    <w:p w:rsidR="00913A15" w:rsidRPr="00913A15" w:rsidRDefault="00913A15" w:rsidP="00913A15">
      <w:pPr>
        <w:shd w:val="clear" w:color="auto" w:fill="FFFFFF"/>
        <w:ind w:firstLine="709"/>
        <w:jc w:val="both"/>
        <w:rPr>
          <w:rFonts w:ascii="Arial" w:hAnsi="Arial" w:cs="Arial"/>
          <w:shd w:val="clear" w:color="auto" w:fill="FFFFFF"/>
        </w:rPr>
      </w:pPr>
      <w:r w:rsidRPr="00913A15">
        <w:rPr>
          <w:rFonts w:ascii="Arial" w:hAnsi="Arial" w:cs="Arial"/>
          <w:shd w:val="clear" w:color="auto" w:fill="FFFFFF"/>
        </w:rPr>
        <w:t>Основные показатели:</w:t>
      </w:r>
    </w:p>
    <w:p w:rsidR="00913A15" w:rsidRPr="00913A15" w:rsidRDefault="00913A15" w:rsidP="00913A15">
      <w:pPr>
        <w:tabs>
          <w:tab w:val="left" w:pos="851"/>
        </w:tabs>
        <w:ind w:firstLine="709"/>
        <w:jc w:val="both"/>
        <w:rPr>
          <w:rFonts w:ascii="Arial" w:hAnsi="Arial" w:cs="Arial"/>
        </w:rPr>
      </w:pPr>
      <w:r w:rsidRPr="00913A15">
        <w:rPr>
          <w:rFonts w:ascii="Arial" w:hAnsi="Arial" w:cs="Arial"/>
        </w:rPr>
        <w:t>- объем отгруженных товаров собственного производства, выполненных работ и услуг собственными силами (без НДС и акцизов) на сумму 1 796,2 млн. рублей или 102,5% к уровню прошлого года;</w:t>
      </w:r>
    </w:p>
    <w:p w:rsidR="00913A15" w:rsidRPr="00913A15" w:rsidRDefault="00913A15" w:rsidP="00913A15">
      <w:pPr>
        <w:keepNext/>
        <w:keepLines/>
        <w:ind w:firstLine="709"/>
        <w:jc w:val="both"/>
        <w:rPr>
          <w:rFonts w:ascii="Arial" w:hAnsi="Arial" w:cs="Arial"/>
        </w:rPr>
      </w:pPr>
      <w:r w:rsidRPr="00913A15">
        <w:rPr>
          <w:rFonts w:ascii="Arial" w:hAnsi="Arial" w:cs="Arial"/>
        </w:rPr>
        <w:t xml:space="preserve">- оборот крупных и средних организаций (по всем видам экономической деятельности) составил </w:t>
      </w:r>
      <w:r w:rsidRPr="00913A15">
        <w:rPr>
          <w:rFonts w:ascii="Arial" w:eastAsia="Calibri" w:hAnsi="Arial" w:cs="Arial"/>
          <w:bCs/>
        </w:rPr>
        <w:t>4 313,9</w:t>
      </w:r>
      <w:r w:rsidRPr="00913A15">
        <w:rPr>
          <w:rFonts w:ascii="Arial" w:hAnsi="Arial" w:cs="Arial"/>
        </w:rPr>
        <w:t xml:space="preserve">  млн. руб., что к предыдущему году составляет – 104,3%;</w:t>
      </w:r>
    </w:p>
    <w:p w:rsidR="00913A15" w:rsidRPr="00913A15" w:rsidRDefault="00913A15" w:rsidP="00913A15">
      <w:pPr>
        <w:ind w:firstLine="709"/>
        <w:jc w:val="both"/>
        <w:rPr>
          <w:rFonts w:ascii="Arial" w:hAnsi="Arial" w:cs="Arial"/>
        </w:rPr>
      </w:pPr>
      <w:r w:rsidRPr="00913A15">
        <w:rPr>
          <w:rFonts w:ascii="Arial" w:hAnsi="Arial" w:cs="Arial"/>
        </w:rPr>
        <w:t>- оборот розничной торговли 4 552</w:t>
      </w:r>
      <w:r w:rsidRPr="00913A15">
        <w:rPr>
          <w:rFonts w:ascii="Arial" w:eastAsia="Calibri" w:hAnsi="Arial" w:cs="Arial"/>
        </w:rPr>
        <w:t xml:space="preserve"> </w:t>
      </w:r>
      <w:r w:rsidRPr="00913A15">
        <w:rPr>
          <w:rFonts w:ascii="Arial" w:hAnsi="Arial" w:cs="Arial"/>
        </w:rPr>
        <w:t>млн. рублей, в % к предыдущему году – 104,7%;</w:t>
      </w:r>
    </w:p>
    <w:p w:rsidR="00913A15" w:rsidRPr="00913A15" w:rsidRDefault="00913A15" w:rsidP="00913A15">
      <w:pPr>
        <w:ind w:firstLine="709"/>
        <w:jc w:val="both"/>
        <w:rPr>
          <w:rFonts w:ascii="Arial" w:hAnsi="Arial" w:cs="Arial"/>
        </w:rPr>
      </w:pPr>
      <w:r w:rsidRPr="00913A15">
        <w:rPr>
          <w:rFonts w:ascii="Arial" w:hAnsi="Arial" w:cs="Arial"/>
        </w:rPr>
        <w:t>- оборот общественного питания составил 127 млн. рублей, в % к предыдущему году – 102,8%;</w:t>
      </w:r>
    </w:p>
    <w:p w:rsidR="00913A15" w:rsidRPr="00913A15" w:rsidRDefault="00913A15" w:rsidP="00913A15">
      <w:pPr>
        <w:ind w:firstLine="709"/>
        <w:jc w:val="both"/>
        <w:rPr>
          <w:rFonts w:ascii="Arial" w:hAnsi="Arial" w:cs="Arial"/>
        </w:rPr>
      </w:pPr>
      <w:r w:rsidRPr="00913A15">
        <w:rPr>
          <w:rFonts w:ascii="Arial" w:hAnsi="Arial" w:cs="Arial"/>
        </w:rPr>
        <w:t>- объем платных услуг населению в сумме 1 261 млн. рублей, к предыдущему году – 99%;</w:t>
      </w:r>
    </w:p>
    <w:p w:rsidR="00913A15" w:rsidRPr="00913A15" w:rsidRDefault="00913A15" w:rsidP="00913A15">
      <w:pPr>
        <w:ind w:firstLine="709"/>
        <w:jc w:val="both"/>
        <w:rPr>
          <w:rFonts w:ascii="Arial" w:hAnsi="Arial" w:cs="Arial"/>
        </w:rPr>
      </w:pPr>
      <w:r w:rsidRPr="00913A15">
        <w:rPr>
          <w:rFonts w:ascii="Arial" w:hAnsi="Arial" w:cs="Arial"/>
        </w:rPr>
        <w:t>- работы, выполненные по виду деятельности «строительство» -  803,2 млн. рублей, к предыдущему году – 46,1%;</w:t>
      </w:r>
    </w:p>
    <w:p w:rsidR="00913A15" w:rsidRPr="00913A15" w:rsidRDefault="00913A15" w:rsidP="00913A15">
      <w:pPr>
        <w:ind w:firstLine="709"/>
        <w:jc w:val="both"/>
        <w:rPr>
          <w:rFonts w:ascii="Arial" w:hAnsi="Arial" w:cs="Arial"/>
          <w:color w:val="212121"/>
          <w:shd w:val="clear" w:color="auto" w:fill="FFFFFF"/>
        </w:rPr>
      </w:pPr>
      <w:r w:rsidRPr="00913A15">
        <w:rPr>
          <w:rFonts w:ascii="Arial" w:hAnsi="Arial" w:cs="Arial"/>
          <w:color w:val="000000"/>
        </w:rPr>
        <w:t>В минувшем году предприятиям удалось сохранить рабочие коллективы, обеспечить своевременность выплаты заработной платы, не допустить задолженности по налоговым платежам в бюджеты всех уровней и не снизить темпы производства.</w:t>
      </w:r>
      <w:r w:rsidRPr="00913A15">
        <w:rPr>
          <w:rFonts w:ascii="Arial" w:hAnsi="Arial" w:cs="Arial"/>
          <w:color w:val="212121"/>
          <w:shd w:val="clear" w:color="auto" w:fill="FFFFFF"/>
        </w:rPr>
        <w:t xml:space="preserve"> </w:t>
      </w:r>
      <w:r w:rsidRPr="00913A15">
        <w:rPr>
          <w:rFonts w:ascii="Arial" w:hAnsi="Arial" w:cs="Arial"/>
          <w:color w:val="000000"/>
          <w:shd w:val="clear" w:color="auto" w:fill="FFFFFF"/>
        </w:rPr>
        <w:t>Улучшились основные экономические и социальные показатели.</w:t>
      </w:r>
    </w:p>
    <w:p w:rsidR="00913A15" w:rsidRPr="00913A15" w:rsidRDefault="00913A15" w:rsidP="00913A15">
      <w:pPr>
        <w:pStyle w:val="af4"/>
        <w:pBdr>
          <w:top w:val="none" w:sz="0" w:space="0" w:color="000000"/>
          <w:left w:val="none" w:sz="0" w:space="0" w:color="000000"/>
          <w:bottom w:val="none" w:sz="0" w:space="0" w:color="000000"/>
          <w:right w:val="none" w:sz="0" w:space="0" w:color="000000"/>
        </w:pBdr>
        <w:spacing w:after="0"/>
        <w:ind w:firstLine="709"/>
        <w:jc w:val="both"/>
        <w:rPr>
          <w:rFonts w:ascii="Arial" w:hAnsi="Arial" w:cs="Arial"/>
          <w:shd w:val="clear" w:color="auto" w:fill="FFFFFF"/>
        </w:rPr>
      </w:pPr>
      <w:r w:rsidRPr="00913A15">
        <w:rPr>
          <w:rFonts w:ascii="Arial" w:hAnsi="Arial" w:cs="Arial"/>
          <w:color w:val="000000"/>
          <w:shd w:val="clear" w:color="auto" w:fill="FFFFFF"/>
        </w:rPr>
        <w:t xml:space="preserve">Малый бизнес в Тайгинском городском округе представлен 281 субъектом малого предпринимательства, из них 52 малых и микропредприятий, 229 индивидуальных предпринимателя, а также 1 432 человека оформлены как самозанятые. </w:t>
      </w:r>
      <w:r w:rsidRPr="00913A15">
        <w:rPr>
          <w:rFonts w:ascii="Arial" w:hAnsi="Arial" w:cs="Arial"/>
        </w:rPr>
        <w:t xml:space="preserve">По сравнению с 2024 годом в 2025 году произошло увеличение численности индивидуальных предпринимателей в среднем на 5%. При этом численность самозанятых увеличилась более чем на 30%, </w:t>
      </w:r>
      <w:r w:rsidRPr="00913A15">
        <w:rPr>
          <w:rFonts w:ascii="Arial" w:hAnsi="Arial" w:cs="Arial"/>
          <w:color w:val="000000"/>
        </w:rPr>
        <w:t>что является свидетельством активной легализации неформального, теневого сектора экономики.</w:t>
      </w:r>
    </w:p>
    <w:p w:rsidR="00913A15" w:rsidRPr="00913A15" w:rsidRDefault="00913A15" w:rsidP="00913A15">
      <w:pPr>
        <w:ind w:firstLine="709"/>
        <w:jc w:val="both"/>
        <w:rPr>
          <w:rFonts w:ascii="Arial" w:hAnsi="Arial" w:cs="Arial"/>
        </w:rPr>
      </w:pPr>
      <w:r w:rsidRPr="00913A15">
        <w:rPr>
          <w:rFonts w:ascii="Arial" w:hAnsi="Arial" w:cs="Arial"/>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за отчетный год составила 11,1% (среднесписочная численность работников занятых на малых и микропредприятиях составила 586 человек), наблюдается рост по отношению к прошлому году на 1,1%. </w:t>
      </w:r>
    </w:p>
    <w:p w:rsidR="00913A15" w:rsidRPr="00913A15" w:rsidRDefault="00913A15" w:rsidP="00913A15">
      <w:pPr>
        <w:ind w:firstLine="709"/>
        <w:jc w:val="both"/>
        <w:rPr>
          <w:rFonts w:ascii="Arial" w:hAnsi="Arial" w:cs="Arial"/>
        </w:rPr>
      </w:pPr>
      <w:r w:rsidRPr="00913A15">
        <w:rPr>
          <w:rFonts w:ascii="Arial" w:hAnsi="Arial" w:cs="Arial"/>
        </w:rPr>
        <w:t xml:space="preserve">В рамках муниципальной программы «Развитие субъектов малого и среднего предпринимательства» реализуется комплекс мероприятий по вовлечению в предпринимательскую деятельность. </w:t>
      </w:r>
    </w:p>
    <w:p w:rsidR="00913A15" w:rsidRPr="00913A15" w:rsidRDefault="00913A15" w:rsidP="00913A15">
      <w:pPr>
        <w:ind w:firstLine="709"/>
        <w:jc w:val="both"/>
        <w:rPr>
          <w:rFonts w:ascii="Arial" w:hAnsi="Arial" w:cs="Arial"/>
        </w:rPr>
      </w:pPr>
      <w:r w:rsidRPr="00913A15">
        <w:rPr>
          <w:rFonts w:ascii="Arial" w:hAnsi="Arial" w:cs="Arial"/>
        </w:rPr>
        <w:t xml:space="preserve">В постоянном режиме оказывается поддержка субъектам малого и среднего предпринимательства: </w:t>
      </w:r>
    </w:p>
    <w:p w:rsidR="00913A15" w:rsidRPr="00913A15" w:rsidRDefault="00913A15" w:rsidP="00913A15">
      <w:pPr>
        <w:shd w:val="clear" w:color="auto" w:fill="FFFFFF"/>
        <w:ind w:firstLine="709"/>
        <w:jc w:val="both"/>
        <w:rPr>
          <w:rFonts w:ascii="Arial" w:hAnsi="Arial" w:cs="Arial"/>
        </w:rPr>
      </w:pPr>
      <w:r w:rsidRPr="00913A15">
        <w:rPr>
          <w:rFonts w:ascii="Arial" w:hAnsi="Arial" w:cs="Arial"/>
        </w:rPr>
        <w:t>1. Информационная (через официальный сайт администрации Тайгинского городского округа раздел «Отдел потребительского рынка и поддержки предпринимательства» и мессенджеры);</w:t>
      </w:r>
    </w:p>
    <w:p w:rsidR="00913A15" w:rsidRPr="00913A15" w:rsidRDefault="00913A15" w:rsidP="00913A15">
      <w:pPr>
        <w:shd w:val="clear" w:color="auto" w:fill="FFFFFF"/>
        <w:ind w:firstLine="709"/>
        <w:jc w:val="both"/>
        <w:rPr>
          <w:rFonts w:ascii="Arial" w:hAnsi="Arial" w:cs="Arial"/>
        </w:rPr>
      </w:pPr>
      <w:r w:rsidRPr="00913A15">
        <w:rPr>
          <w:rFonts w:ascii="Arial" w:hAnsi="Arial" w:cs="Arial"/>
        </w:rPr>
        <w:t>2. Консультативная (Центром содействия малому и среднему предпринимательству при обращении);</w:t>
      </w:r>
    </w:p>
    <w:p w:rsidR="00913A15" w:rsidRPr="00913A15" w:rsidRDefault="00913A15" w:rsidP="00913A15">
      <w:pPr>
        <w:ind w:firstLine="709"/>
        <w:jc w:val="both"/>
        <w:rPr>
          <w:rFonts w:ascii="Arial" w:hAnsi="Arial" w:cs="Arial"/>
        </w:rPr>
      </w:pPr>
      <w:r w:rsidRPr="00913A15">
        <w:rPr>
          <w:rFonts w:ascii="Arial" w:hAnsi="Arial" w:cs="Arial"/>
        </w:rPr>
        <w:t xml:space="preserve">3. Имущественная (КУМИ утвержден перечень объектов для предоставления МСП, поддержка имеет заявительный характер); </w:t>
      </w:r>
    </w:p>
    <w:p w:rsidR="00913A15" w:rsidRPr="00913A15" w:rsidRDefault="00913A15" w:rsidP="00913A15">
      <w:pPr>
        <w:ind w:firstLine="709"/>
        <w:jc w:val="both"/>
        <w:rPr>
          <w:rFonts w:ascii="Arial" w:hAnsi="Arial" w:cs="Arial"/>
        </w:rPr>
      </w:pPr>
      <w:r w:rsidRPr="00913A15">
        <w:rPr>
          <w:rFonts w:ascii="Arial" w:hAnsi="Arial" w:cs="Arial"/>
        </w:rPr>
        <w:t>4. Льготная арендная плата за нежилые помещения, находящиеся в муниципальной собственности (50% от арендной платы);</w:t>
      </w:r>
    </w:p>
    <w:p w:rsidR="00913A15" w:rsidRPr="00913A15" w:rsidRDefault="00913A15" w:rsidP="00913A15">
      <w:pPr>
        <w:ind w:firstLine="709"/>
        <w:jc w:val="both"/>
        <w:rPr>
          <w:rFonts w:ascii="Arial" w:hAnsi="Arial" w:cs="Arial"/>
        </w:rPr>
      </w:pPr>
      <w:r w:rsidRPr="00913A15">
        <w:rPr>
          <w:rFonts w:ascii="Arial" w:hAnsi="Arial" w:cs="Arial"/>
        </w:rPr>
        <w:lastRenderedPageBreak/>
        <w:t>5. Финансовая на открытие бизнеса:</w:t>
      </w:r>
    </w:p>
    <w:p w:rsidR="00913A15" w:rsidRPr="00913A15" w:rsidRDefault="00913A15" w:rsidP="00913A15">
      <w:pPr>
        <w:ind w:firstLine="709"/>
        <w:jc w:val="both"/>
        <w:rPr>
          <w:rFonts w:ascii="Arial" w:hAnsi="Arial" w:cs="Arial"/>
        </w:rPr>
      </w:pPr>
      <w:r w:rsidRPr="00913A15">
        <w:rPr>
          <w:rFonts w:ascii="Arial" w:hAnsi="Arial" w:cs="Arial"/>
        </w:rPr>
        <w:t xml:space="preserve">а) в рамках региональной программы «Содействие самозанятости безработных граждан» через кадровый центр 2 человека получили финансовую поддержку на открытие собственного дела на общую сумму 300,0 тыс. рублей. </w:t>
      </w:r>
    </w:p>
    <w:p w:rsidR="00913A15" w:rsidRPr="00913A15" w:rsidRDefault="00913A15" w:rsidP="00913A15">
      <w:pPr>
        <w:ind w:firstLine="709"/>
        <w:jc w:val="both"/>
        <w:rPr>
          <w:rFonts w:ascii="Arial" w:hAnsi="Arial" w:cs="Arial"/>
        </w:rPr>
      </w:pPr>
      <w:r w:rsidRPr="00913A15">
        <w:rPr>
          <w:rFonts w:ascii="Arial" w:hAnsi="Arial" w:cs="Arial"/>
        </w:rPr>
        <w:t xml:space="preserve">б) Управлением социальной защиты населения </w:t>
      </w:r>
      <w:r w:rsidRPr="00913A15">
        <w:rPr>
          <w:rFonts w:ascii="Arial" w:hAnsi="Arial" w:cs="Arial"/>
          <w:shd w:val="clear" w:color="auto" w:fill="FFFFFF"/>
        </w:rPr>
        <w:t xml:space="preserve">заключено 53 </w:t>
      </w:r>
      <w:r w:rsidRPr="00913A15">
        <w:rPr>
          <w:rFonts w:ascii="Arial" w:hAnsi="Arial" w:cs="Arial"/>
        </w:rPr>
        <w:t>социальных</w:t>
      </w:r>
      <w:r w:rsidRPr="00913A15">
        <w:rPr>
          <w:rFonts w:ascii="Arial" w:hAnsi="Arial" w:cs="Arial"/>
          <w:shd w:val="clear" w:color="auto" w:fill="FFFFFF"/>
        </w:rPr>
        <w:t xml:space="preserve"> контракта, из них на осуществление индивидуальной предпринимательской инициативы и самозанятости 30 контрактов на сумму 10,5 миллионов рублей, 3 контракта на ведение личного подсобного хозяйства – 585,0 тысяч рублей. Эта мера поддержки дает возможность гражданам открыть собственное ИП, фермерское хозяйство, оформить самозанятость, пройти переобучение по востребованной профессии и получить при этом денежные средства от государства. </w:t>
      </w:r>
    </w:p>
    <w:p w:rsidR="00913A15" w:rsidRPr="00913A15" w:rsidRDefault="00913A15" w:rsidP="00913A15">
      <w:pPr>
        <w:pStyle w:val="10"/>
        <w:spacing w:after="0"/>
        <w:ind w:left="0" w:firstLine="709"/>
        <w:jc w:val="both"/>
        <w:rPr>
          <w:rFonts w:ascii="Arial" w:hAnsi="Arial" w:cs="Arial"/>
          <w:sz w:val="24"/>
          <w:szCs w:val="24"/>
        </w:rPr>
      </w:pPr>
      <w:r w:rsidRPr="00913A15">
        <w:rPr>
          <w:rFonts w:ascii="Arial" w:hAnsi="Arial" w:cs="Arial"/>
          <w:sz w:val="24"/>
          <w:szCs w:val="24"/>
        </w:rPr>
        <w:t xml:space="preserve">6. Финансовая поддержка в 2025 году оказывалась на региональном уровне, финансирование муниципального уровня не было. </w:t>
      </w:r>
      <w:r w:rsidRPr="00913A15">
        <w:rPr>
          <w:rFonts w:ascii="Arial" w:hAnsi="Arial" w:cs="Arial"/>
          <w:color w:val="000000"/>
          <w:sz w:val="24"/>
          <w:szCs w:val="24"/>
        </w:rPr>
        <w:t>В центр «Мой бизнес» в Кузбассе обратилось 5 представителей бизнеса Тайги. В государственный фонд поддержки предпринимательства Кузбасса за получением льготных займов - 3 субъекта МСП.</w:t>
      </w:r>
    </w:p>
    <w:p w:rsidR="00913A15" w:rsidRPr="00913A15" w:rsidRDefault="00913A15" w:rsidP="00913A15">
      <w:pPr>
        <w:ind w:firstLine="709"/>
        <w:jc w:val="both"/>
        <w:rPr>
          <w:rFonts w:ascii="Arial" w:hAnsi="Arial" w:cs="Arial"/>
          <w:shd w:val="clear" w:color="auto" w:fill="FFFFFF"/>
        </w:rPr>
      </w:pPr>
      <w:r w:rsidRPr="00913A15">
        <w:rPr>
          <w:rFonts w:ascii="Arial" w:hAnsi="Arial" w:cs="Arial"/>
        </w:rPr>
        <w:t>На территории округа е</w:t>
      </w:r>
      <w:r w:rsidRPr="00913A15">
        <w:rPr>
          <w:rFonts w:ascii="Arial" w:hAnsi="Arial" w:cs="Arial"/>
          <w:shd w:val="clear" w:color="auto" w:fill="FFFFFF"/>
        </w:rPr>
        <w:t xml:space="preserve">жегодно заключаются соглашения о социально-экономическом партнерстве. За 2025 год заключено 98 соглашений на сумму 0,35 млн. рублей, из которых более 95% средств направлено на оказания спонсорской помощи (развитие футбола, проведение городских праздников, помощь в зону СВО). </w:t>
      </w:r>
    </w:p>
    <w:p w:rsidR="00913A15" w:rsidRPr="00913A15" w:rsidRDefault="00913A15" w:rsidP="00913A15">
      <w:pPr>
        <w:ind w:firstLine="709"/>
        <w:jc w:val="both"/>
        <w:rPr>
          <w:rFonts w:ascii="Arial" w:hAnsi="Arial" w:cs="Arial"/>
          <w:lang w:bidi="en-US"/>
        </w:rPr>
      </w:pPr>
      <w:r w:rsidRPr="00913A15">
        <w:rPr>
          <w:rFonts w:ascii="Arial" w:hAnsi="Arial" w:cs="Arial"/>
          <w:lang w:bidi="en-US"/>
        </w:rPr>
        <w:t>Потенциала малого и среднего предпринимательства недостаточно для ухода промышленности Тайгинского городского округа от монозависимости.</w:t>
      </w:r>
    </w:p>
    <w:p w:rsidR="00913A15" w:rsidRPr="00913A15" w:rsidRDefault="00913A15" w:rsidP="00913A15">
      <w:pPr>
        <w:ind w:firstLine="709"/>
        <w:jc w:val="both"/>
        <w:rPr>
          <w:rFonts w:ascii="Arial" w:hAnsi="Arial" w:cs="Arial"/>
          <w:lang w:bidi="en-US"/>
        </w:rPr>
      </w:pPr>
      <w:r w:rsidRPr="00913A15">
        <w:rPr>
          <w:rFonts w:ascii="Arial" w:hAnsi="Arial" w:cs="Arial"/>
          <w:lang w:bidi="en-US"/>
        </w:rPr>
        <w:t>Основные проблемы местной промышленности и малого бизнеса:</w:t>
      </w:r>
    </w:p>
    <w:p w:rsidR="00913A15" w:rsidRPr="00913A15" w:rsidRDefault="00913A15" w:rsidP="00913A15">
      <w:pPr>
        <w:ind w:firstLine="709"/>
        <w:jc w:val="both"/>
        <w:rPr>
          <w:rFonts w:ascii="Arial" w:hAnsi="Arial" w:cs="Arial"/>
          <w:lang w:bidi="en-US"/>
        </w:rPr>
      </w:pPr>
      <w:r w:rsidRPr="00913A15">
        <w:rPr>
          <w:rFonts w:ascii="Arial" w:hAnsi="Arial" w:cs="Arial"/>
          <w:lang w:bidi="en-US"/>
        </w:rPr>
        <w:t>- низкое внедрение инновационных технологий на предприятиях городского округа;</w:t>
      </w:r>
    </w:p>
    <w:p w:rsidR="00913A15" w:rsidRPr="00913A15" w:rsidRDefault="00913A15" w:rsidP="00913A15">
      <w:pPr>
        <w:ind w:firstLine="709"/>
        <w:jc w:val="both"/>
        <w:rPr>
          <w:rFonts w:ascii="Arial" w:hAnsi="Arial" w:cs="Arial"/>
          <w:lang w:bidi="en-US"/>
        </w:rPr>
      </w:pPr>
      <w:r w:rsidRPr="00913A15">
        <w:rPr>
          <w:rFonts w:ascii="Arial" w:hAnsi="Arial" w:cs="Arial"/>
          <w:lang w:bidi="en-US"/>
        </w:rPr>
        <w:t>- низкий объем присутствия предприятий малого и среднего бизнеса в производственной сфере Тайгинского городского округа;</w:t>
      </w:r>
    </w:p>
    <w:p w:rsidR="00913A15" w:rsidRPr="00913A15" w:rsidRDefault="00913A15" w:rsidP="00913A15">
      <w:pPr>
        <w:ind w:firstLine="709"/>
        <w:jc w:val="both"/>
        <w:rPr>
          <w:rFonts w:ascii="Arial" w:hAnsi="Arial" w:cs="Arial"/>
          <w:lang w:bidi="en-US"/>
        </w:rPr>
      </w:pPr>
      <w:r w:rsidRPr="00913A15">
        <w:rPr>
          <w:rFonts w:ascii="Arial" w:hAnsi="Arial" w:cs="Arial"/>
          <w:lang w:bidi="en-US"/>
        </w:rPr>
        <w:t xml:space="preserve">- отсутствие крупных промышленных предприятий. </w:t>
      </w:r>
    </w:p>
    <w:p w:rsidR="00913A15" w:rsidRPr="00913A15" w:rsidRDefault="00913A15" w:rsidP="00913A15">
      <w:pPr>
        <w:widowControl w:val="0"/>
        <w:ind w:firstLine="709"/>
        <w:jc w:val="both"/>
        <w:rPr>
          <w:rFonts w:ascii="Arial" w:hAnsi="Arial" w:cs="Arial"/>
          <w:lang w:bidi="en-US"/>
        </w:rPr>
      </w:pPr>
      <w:r w:rsidRPr="00913A15">
        <w:rPr>
          <w:rFonts w:ascii="Arial" w:hAnsi="Arial" w:cs="Arial"/>
        </w:rPr>
        <w:t xml:space="preserve">Одна из основных экономических проблем - недостаточный финансовый поток в Тайгинский городской округ. </w:t>
      </w:r>
      <w:r w:rsidRPr="00913A15">
        <w:rPr>
          <w:rFonts w:ascii="Arial" w:hAnsi="Arial" w:cs="Arial"/>
          <w:lang w:bidi="en-US"/>
        </w:rPr>
        <w:t>Сальдированный финансовый результат организаций Тайгинского городского округа за прошедший год имел отрицательную динамику (по крупным и средним организациям) -</w:t>
      </w:r>
      <w:r w:rsidRPr="00913A15">
        <w:rPr>
          <w:rFonts w:ascii="Arial" w:hAnsi="Arial" w:cs="Arial"/>
        </w:rPr>
        <w:t xml:space="preserve">12,9 </w:t>
      </w:r>
      <w:r w:rsidRPr="00913A15">
        <w:rPr>
          <w:rFonts w:ascii="Arial" w:hAnsi="Arial" w:cs="Arial"/>
          <w:lang w:bidi="en-US"/>
        </w:rPr>
        <w:t xml:space="preserve">млн. руб. </w:t>
      </w:r>
      <w:r w:rsidRPr="00913A15">
        <w:rPr>
          <w:rFonts w:ascii="Arial" w:hAnsi="Arial" w:cs="Arial"/>
        </w:rPr>
        <w:t>Удельный вес убыточных организаций в % к общему числу организаций составил 33,3% (в 2024 году по данным Кемеровостат, был тот</w:t>
      </w:r>
      <w:r>
        <w:rPr>
          <w:rFonts w:ascii="Arial" w:hAnsi="Arial" w:cs="Arial"/>
        </w:rPr>
        <w:t xml:space="preserve"> </w:t>
      </w:r>
      <w:r w:rsidRPr="00913A15">
        <w:rPr>
          <w:rFonts w:ascii="Arial" w:hAnsi="Arial" w:cs="Arial"/>
        </w:rPr>
        <w:t>же).</w:t>
      </w:r>
    </w:p>
    <w:p w:rsidR="00913A15" w:rsidRPr="00913A15" w:rsidRDefault="00913A15" w:rsidP="00913A15">
      <w:pPr>
        <w:ind w:firstLine="709"/>
        <w:jc w:val="both"/>
        <w:rPr>
          <w:rFonts w:ascii="Arial" w:hAnsi="Arial" w:cs="Arial"/>
          <w:color w:val="000000" w:themeColor="text1"/>
          <w:lang w:bidi="en-US"/>
        </w:rPr>
      </w:pPr>
      <w:bookmarkStart w:id="0" w:name="_Toc259090106"/>
      <w:r w:rsidRPr="00913A15">
        <w:rPr>
          <w:rFonts w:ascii="Arial" w:hAnsi="Arial" w:cs="Arial"/>
          <w:color w:val="000000" w:themeColor="text1"/>
          <w:lang w:bidi="en-US"/>
        </w:rPr>
        <w:t xml:space="preserve">За 2025 год в бюджет города поступило налоговых платежей - 354 млн. руб. или 112,6% к уровню прошлого года. </w:t>
      </w:r>
    </w:p>
    <w:p w:rsidR="00913A15" w:rsidRPr="00913A15" w:rsidRDefault="00913A15" w:rsidP="00913A15">
      <w:pPr>
        <w:ind w:firstLine="709"/>
        <w:jc w:val="both"/>
        <w:rPr>
          <w:rFonts w:ascii="Arial" w:hAnsi="Arial" w:cs="Arial"/>
          <w:color w:val="000000" w:themeColor="text1"/>
          <w:lang w:bidi="en-US"/>
        </w:rPr>
      </w:pPr>
      <w:r w:rsidRPr="00913A15">
        <w:rPr>
          <w:rFonts w:ascii="Arial" w:hAnsi="Arial" w:cs="Arial"/>
          <w:color w:val="000000" w:themeColor="text1"/>
          <w:lang w:bidi="en-US"/>
        </w:rPr>
        <w:t xml:space="preserve">В структуре поступлений в местный бюджет основной объем доходов обеспечен за счет налога на доходы физических лиц 287 млн. руб. или 81% в общей структуре поступлений. Увеличение поступления по налогу на доходы физических лиц за 2025 год составило 28,9 млн. рублей или 111,2% к уровню прошлого года,  </w:t>
      </w:r>
      <w:r w:rsidRPr="00913A15">
        <w:rPr>
          <w:rFonts w:ascii="Arial" w:hAnsi="Arial" w:cs="Arial"/>
        </w:rPr>
        <w:t>что в основном обусловлено экономическим фактором - ростом фонда оплаты труда</w:t>
      </w:r>
    </w:p>
    <w:p w:rsidR="00913A15" w:rsidRPr="00913A15" w:rsidRDefault="00913A15" w:rsidP="00913A15">
      <w:pPr>
        <w:ind w:firstLine="709"/>
        <w:jc w:val="both"/>
        <w:rPr>
          <w:rFonts w:ascii="Arial" w:hAnsi="Arial" w:cs="Arial"/>
          <w:color w:val="000000" w:themeColor="text1"/>
          <w:lang w:bidi="en-US"/>
        </w:rPr>
      </w:pPr>
      <w:r w:rsidRPr="00913A15">
        <w:rPr>
          <w:rFonts w:ascii="Arial" w:hAnsi="Arial" w:cs="Arial"/>
          <w:color w:val="000000" w:themeColor="text1"/>
          <w:lang w:bidi="en-US"/>
        </w:rPr>
        <w:t xml:space="preserve">На объем поступлений в местный бюджет также влияют имущественные налоги физических лиц. Налога на имущество физических лиц поступило 3,9 млн. руб. или 1,1% от налоговых поступлений, что на 0,75 млн. руб. больше, чем за 2024 год. </w:t>
      </w:r>
    </w:p>
    <w:p w:rsidR="00913A15" w:rsidRPr="00913A15" w:rsidRDefault="00913A15" w:rsidP="00913A15">
      <w:pPr>
        <w:ind w:firstLine="709"/>
        <w:jc w:val="both"/>
        <w:rPr>
          <w:rFonts w:ascii="Arial" w:hAnsi="Arial" w:cs="Arial"/>
          <w:color w:val="000000" w:themeColor="text1"/>
          <w:lang w:bidi="en-US"/>
        </w:rPr>
      </w:pPr>
      <w:r w:rsidRPr="00913A15">
        <w:rPr>
          <w:rFonts w:ascii="Arial" w:hAnsi="Arial" w:cs="Arial"/>
          <w:color w:val="000000" w:themeColor="text1"/>
          <w:lang w:bidi="en-US"/>
        </w:rPr>
        <w:t xml:space="preserve">Увеличилось поступление по налогам со специальными режимами. В общей структуре они составляют 6,6% или 23,2 млн. рублей, что на 1,5 млн. рублей или на 6,9% больше поступлений прошлого года. </w:t>
      </w:r>
    </w:p>
    <w:p w:rsidR="00913A15" w:rsidRPr="00913A15" w:rsidRDefault="00913A15" w:rsidP="00913A15">
      <w:pPr>
        <w:ind w:firstLine="709"/>
        <w:jc w:val="both"/>
        <w:rPr>
          <w:rFonts w:ascii="Arial" w:hAnsi="Arial" w:cs="Arial"/>
          <w:color w:val="000000" w:themeColor="text1"/>
          <w:lang w:bidi="en-US"/>
        </w:rPr>
      </w:pPr>
      <w:r w:rsidRPr="00913A15">
        <w:rPr>
          <w:rFonts w:ascii="Arial" w:hAnsi="Arial" w:cs="Arial"/>
          <w:color w:val="000000" w:themeColor="text1"/>
          <w:lang w:bidi="en-US"/>
        </w:rPr>
        <w:t xml:space="preserve">Налога на землю за отчетный год поступило 10,2 млн. рублей или 2,9% от налоговых поступлений. Увеличение поступлений по сравнению с прошлым годом составило 2,4 млн. рублей или 130,2%. </w:t>
      </w:r>
    </w:p>
    <w:p w:rsidR="00913A15" w:rsidRPr="00913A15" w:rsidRDefault="00913A15" w:rsidP="00913A15">
      <w:pPr>
        <w:ind w:firstLine="709"/>
        <w:jc w:val="both"/>
        <w:rPr>
          <w:rFonts w:ascii="Arial" w:hAnsi="Arial" w:cs="Arial"/>
          <w:color w:val="000000" w:themeColor="text1"/>
        </w:rPr>
      </w:pPr>
      <w:r w:rsidRPr="00913A15">
        <w:rPr>
          <w:rFonts w:ascii="Arial" w:hAnsi="Arial" w:cs="Arial"/>
          <w:color w:val="000000" w:themeColor="text1"/>
        </w:rPr>
        <w:t xml:space="preserve">Налоговые и неналоговые доходы поступили в бюджет на </w:t>
      </w:r>
      <w:r w:rsidR="005C4325">
        <w:rPr>
          <w:rFonts w:ascii="Arial" w:hAnsi="Arial" w:cs="Arial"/>
          <w:color w:val="000000" w:themeColor="text1"/>
        </w:rPr>
        <w:t>13</w:t>
      </w:r>
      <w:r w:rsidRPr="00913A15">
        <w:rPr>
          <w:rFonts w:ascii="Arial" w:hAnsi="Arial" w:cs="Arial"/>
          <w:color w:val="000000" w:themeColor="text1"/>
        </w:rPr>
        <w:t xml:space="preserve">% выше уровня предыдущего года (2024г. – 326,0 млн. рублей, 2025г. – 368,2 млн. рублей). </w:t>
      </w:r>
    </w:p>
    <w:p w:rsidR="00913A15" w:rsidRPr="00913A15" w:rsidRDefault="00913A15" w:rsidP="00913A15">
      <w:pPr>
        <w:ind w:firstLine="709"/>
        <w:jc w:val="both"/>
        <w:rPr>
          <w:rFonts w:ascii="Arial" w:hAnsi="Arial" w:cs="Arial"/>
          <w:color w:val="000000" w:themeColor="text1"/>
          <w:lang w:bidi="en-US"/>
        </w:rPr>
      </w:pPr>
      <w:r w:rsidRPr="00913A15">
        <w:rPr>
          <w:rFonts w:ascii="Arial" w:hAnsi="Arial" w:cs="Arial"/>
          <w:color w:val="000000" w:themeColor="text1"/>
          <w:lang w:bidi="en-US"/>
        </w:rPr>
        <w:lastRenderedPageBreak/>
        <w:t xml:space="preserve">Поступления от неналоговых доходов в местный бюджет в 2025 году увеличились по сравнению с прошлым годом на 22,8% и составили 14,1 млн. рублей, в основном за счет продажи муниципальной земли и имущества, в том числе движимого и недвижимого. </w:t>
      </w:r>
    </w:p>
    <w:p w:rsidR="00913A15" w:rsidRPr="00913A15" w:rsidRDefault="00913A15" w:rsidP="00913A15">
      <w:pPr>
        <w:ind w:firstLine="709"/>
        <w:jc w:val="both"/>
        <w:rPr>
          <w:rFonts w:ascii="Arial" w:hAnsi="Arial" w:cs="Arial"/>
          <w:color w:val="000000" w:themeColor="text1"/>
          <w:lang w:bidi="en-US"/>
        </w:rPr>
      </w:pPr>
      <w:r w:rsidRPr="00913A15">
        <w:rPr>
          <w:rFonts w:ascii="Arial" w:hAnsi="Arial" w:cs="Arial"/>
          <w:color w:val="000000" w:themeColor="text1"/>
          <w:lang w:bidi="en-US"/>
        </w:rPr>
        <w:t xml:space="preserve">Всего доходы, включая безвозмездные поступления, составили </w:t>
      </w:r>
      <w:r>
        <w:rPr>
          <w:rFonts w:ascii="Arial" w:hAnsi="Arial" w:cs="Arial"/>
          <w:color w:val="000000" w:themeColor="text1"/>
          <w:lang w:bidi="en-US"/>
        </w:rPr>
        <w:t xml:space="preserve">                        </w:t>
      </w:r>
      <w:r w:rsidRPr="00913A15">
        <w:rPr>
          <w:rFonts w:ascii="Arial" w:hAnsi="Arial" w:cs="Arial"/>
          <w:color w:val="000000" w:themeColor="text1"/>
          <w:lang w:bidi="en-US"/>
        </w:rPr>
        <w:t xml:space="preserve">1 308,1 млн. рублей, что на 22,4% меньше поступлений прошлого года. </w:t>
      </w:r>
      <w:bookmarkEnd w:id="0"/>
    </w:p>
    <w:p w:rsidR="00913A15" w:rsidRPr="00913A15" w:rsidRDefault="00913A15" w:rsidP="00913A15">
      <w:pPr>
        <w:ind w:firstLine="709"/>
        <w:jc w:val="both"/>
        <w:rPr>
          <w:rFonts w:ascii="Arial" w:eastAsia="Calibri" w:hAnsi="Arial" w:cs="Arial"/>
        </w:rPr>
      </w:pPr>
      <w:r w:rsidRPr="00913A15">
        <w:rPr>
          <w:rFonts w:ascii="Arial" w:eastAsia="Calibri" w:hAnsi="Arial" w:cs="Arial"/>
        </w:rPr>
        <w:t>С</w:t>
      </w:r>
      <w:r w:rsidRPr="00913A15">
        <w:rPr>
          <w:rFonts w:ascii="Arial" w:hAnsi="Arial" w:cs="Arial"/>
          <w:bCs/>
        </w:rPr>
        <w:t>оциально-экономическое развитие города осуществляется</w:t>
      </w:r>
      <w:r w:rsidRPr="00913A15">
        <w:rPr>
          <w:rFonts w:ascii="Arial" w:hAnsi="Arial" w:cs="Arial"/>
          <w:b/>
          <w:bCs/>
        </w:rPr>
        <w:t xml:space="preserve"> </w:t>
      </w:r>
      <w:r w:rsidRPr="00913A15">
        <w:rPr>
          <w:rFonts w:ascii="Arial" w:eastAsia="Calibri" w:hAnsi="Arial" w:cs="Arial"/>
        </w:rPr>
        <w:t>в рамках реализации долгосрочной Стратегии развития до 2035 года. В 2025 году были реализованы следующие проекты.</w:t>
      </w:r>
    </w:p>
    <w:p w:rsidR="00913A15" w:rsidRPr="00913A15" w:rsidRDefault="00913A15" w:rsidP="00913A15">
      <w:pPr>
        <w:ind w:firstLine="709"/>
        <w:jc w:val="both"/>
        <w:rPr>
          <w:rFonts w:ascii="Arial" w:hAnsi="Arial" w:cs="Arial"/>
        </w:rPr>
      </w:pPr>
      <w:r w:rsidRPr="00913A15">
        <w:rPr>
          <w:rFonts w:ascii="Arial" w:hAnsi="Arial" w:cs="Arial"/>
          <w:u w:val="single"/>
        </w:rPr>
        <w:t>Образование.</w:t>
      </w:r>
      <w:r w:rsidRPr="00913A15">
        <w:rPr>
          <w:rFonts w:ascii="Arial" w:hAnsi="Arial" w:cs="Arial"/>
        </w:rPr>
        <w:t xml:space="preserve"> </w:t>
      </w:r>
    </w:p>
    <w:p w:rsidR="00913A15" w:rsidRPr="00913A15" w:rsidRDefault="00913A15" w:rsidP="00913A15">
      <w:pPr>
        <w:ind w:firstLine="709"/>
        <w:jc w:val="both"/>
        <w:rPr>
          <w:rFonts w:ascii="Arial" w:hAnsi="Arial" w:cs="Arial"/>
        </w:rPr>
      </w:pPr>
      <w:r w:rsidRPr="00913A15">
        <w:rPr>
          <w:rFonts w:ascii="Arial" w:hAnsi="Arial" w:cs="Arial"/>
        </w:rPr>
        <w:t xml:space="preserve">В рамках национального проекта «Молодежь и дети» по инициативе «Всё лучшее детям» в 2025 году проведены мероприятия по обеспечению безопасных условий в образовательных организациях города. В ряде школ и детских садов выполнены работы по пожарной безопасности и антитеррористической оснащенности  на сумму более 6,5 миллионов рублей.  </w:t>
      </w:r>
    </w:p>
    <w:p w:rsidR="00913A15" w:rsidRPr="00913A15" w:rsidRDefault="00913A15" w:rsidP="00913A15">
      <w:pPr>
        <w:ind w:firstLine="709"/>
        <w:jc w:val="both"/>
        <w:rPr>
          <w:rFonts w:ascii="Arial" w:hAnsi="Arial" w:cs="Arial"/>
        </w:rPr>
      </w:pPr>
      <w:r w:rsidRPr="00913A15">
        <w:rPr>
          <w:rFonts w:ascii="Arial" w:hAnsi="Arial" w:cs="Arial"/>
          <w:u w:val="single"/>
        </w:rPr>
        <w:t>Культура.</w:t>
      </w:r>
      <w:r w:rsidRPr="00913A15">
        <w:rPr>
          <w:rFonts w:ascii="Arial" w:hAnsi="Arial" w:cs="Arial"/>
        </w:rPr>
        <w:t xml:space="preserve"> </w:t>
      </w:r>
    </w:p>
    <w:p w:rsidR="00913A15" w:rsidRPr="00913A15" w:rsidRDefault="00913A15" w:rsidP="00913A15">
      <w:pPr>
        <w:ind w:firstLine="709"/>
        <w:jc w:val="both"/>
        <w:rPr>
          <w:rFonts w:ascii="Arial" w:hAnsi="Arial" w:cs="Arial"/>
        </w:rPr>
      </w:pPr>
      <w:r w:rsidRPr="00913A15">
        <w:rPr>
          <w:rFonts w:ascii="Arial" w:hAnsi="Arial" w:cs="Arial"/>
        </w:rPr>
        <w:t>В рамках национального проекта «Семья» успешно реализуется Всероссийская культурная программа «Пушкинская карта». В данном проекте, объединяющем трех участников: ДК, Музей и Библиотека, проведено триста шестнадцать мероприятий. В общей сложности около четырех с половиной тысяч молодых людей в возрасте от четырнадцати до двадцати двух лет приняли участие в культурной программе «Пушкинская карта», что свидетельствует о высокой заинтересованности молодежи в культурном досуге.</w:t>
      </w:r>
    </w:p>
    <w:p w:rsidR="00913A15" w:rsidRPr="00913A15" w:rsidRDefault="00913A15" w:rsidP="00913A15">
      <w:pPr>
        <w:ind w:firstLine="709"/>
        <w:jc w:val="both"/>
        <w:rPr>
          <w:rFonts w:ascii="Arial" w:hAnsi="Arial" w:cs="Arial"/>
        </w:rPr>
      </w:pPr>
      <w:r w:rsidRPr="00913A15">
        <w:rPr>
          <w:rFonts w:ascii="Arial" w:hAnsi="Arial" w:cs="Arial"/>
          <w:u w:val="single"/>
        </w:rPr>
        <w:t>Социальная защита.</w:t>
      </w:r>
      <w:r w:rsidRPr="00913A15">
        <w:rPr>
          <w:rFonts w:ascii="Arial" w:hAnsi="Arial" w:cs="Arial"/>
        </w:rPr>
        <w:t xml:space="preserve"> </w:t>
      </w:r>
    </w:p>
    <w:p w:rsidR="00913A15" w:rsidRPr="00913A15" w:rsidRDefault="00913A15" w:rsidP="00913A15">
      <w:pPr>
        <w:ind w:firstLine="709"/>
        <w:jc w:val="both"/>
        <w:rPr>
          <w:rFonts w:ascii="Arial" w:hAnsi="Arial" w:cs="Arial"/>
        </w:rPr>
      </w:pPr>
      <w:r w:rsidRPr="00913A15">
        <w:rPr>
          <w:rFonts w:ascii="Arial" w:hAnsi="Arial" w:cs="Arial"/>
        </w:rPr>
        <w:t xml:space="preserve">В рамках регионального проекта «Многодетная семья» семьи пользуются мерами социальной поддержки без критерия нуждаемости, то есть независимо от дохода семьи. Предоставлен широкий спектр мер поддержки в виде социальных выплат. </w:t>
      </w:r>
      <w:r w:rsidRPr="00913A15">
        <w:rPr>
          <w:rFonts w:ascii="Arial" w:hAnsi="Arial" w:cs="Arial"/>
        </w:rPr>
        <w:tab/>
      </w:r>
    </w:p>
    <w:p w:rsidR="00913A15" w:rsidRPr="00913A15" w:rsidRDefault="00913A15" w:rsidP="00913A15">
      <w:pPr>
        <w:ind w:firstLine="709"/>
        <w:jc w:val="both"/>
        <w:rPr>
          <w:rFonts w:ascii="Arial" w:hAnsi="Arial" w:cs="Arial"/>
        </w:rPr>
      </w:pPr>
      <w:r w:rsidRPr="00913A15">
        <w:rPr>
          <w:rFonts w:ascii="Arial" w:hAnsi="Arial" w:cs="Arial"/>
        </w:rPr>
        <w:t>В 2025 году государственная социальная помощь на основании социального контракта предоставлена 53-м семьям, из них 11 многодетных семей.</w:t>
      </w:r>
    </w:p>
    <w:p w:rsidR="00913A15" w:rsidRPr="00913A15" w:rsidRDefault="00913A15" w:rsidP="00913A15">
      <w:pPr>
        <w:ind w:firstLine="709"/>
        <w:jc w:val="both"/>
        <w:rPr>
          <w:rFonts w:ascii="Arial" w:hAnsi="Arial" w:cs="Arial"/>
        </w:rPr>
      </w:pPr>
      <w:r>
        <w:rPr>
          <w:rFonts w:ascii="Arial" w:hAnsi="Arial" w:cs="Arial"/>
        </w:rPr>
        <w:t>В</w:t>
      </w:r>
      <w:r w:rsidRPr="00913A15">
        <w:rPr>
          <w:rFonts w:ascii="Arial" w:hAnsi="Arial" w:cs="Arial"/>
        </w:rPr>
        <w:t xml:space="preserve"> рамках региональной программы по повышению рождаемости поддержку получили 7 беременных женщин, обучающихся очно.</w:t>
      </w:r>
    </w:p>
    <w:p w:rsidR="00913A15" w:rsidRPr="00913A15" w:rsidRDefault="00913A15" w:rsidP="00913A15">
      <w:pPr>
        <w:ind w:firstLine="709"/>
        <w:jc w:val="both"/>
        <w:rPr>
          <w:rFonts w:ascii="Arial" w:hAnsi="Arial" w:cs="Arial"/>
        </w:rPr>
      </w:pPr>
      <w:r w:rsidRPr="00913A15">
        <w:rPr>
          <w:rFonts w:ascii="Arial" w:hAnsi="Arial" w:cs="Arial"/>
        </w:rPr>
        <w:t xml:space="preserve">В рамках реализации регионального проекта «Старшее поколение» выполнены мероприятия по увеличению периода активного долголетия и продолжительности здоровой жизни: </w:t>
      </w:r>
    </w:p>
    <w:p w:rsidR="00913A15" w:rsidRPr="00913A15" w:rsidRDefault="00913A15" w:rsidP="00913A15">
      <w:pPr>
        <w:ind w:firstLine="709"/>
        <w:jc w:val="both"/>
        <w:rPr>
          <w:rFonts w:ascii="Arial" w:hAnsi="Arial" w:cs="Arial"/>
        </w:rPr>
      </w:pPr>
      <w:r w:rsidRPr="00913A15">
        <w:rPr>
          <w:rFonts w:ascii="Arial" w:hAnsi="Arial" w:cs="Arial"/>
        </w:rPr>
        <w:t>- оказана своевременная адресная помощь (1 366 человек);</w:t>
      </w:r>
    </w:p>
    <w:p w:rsidR="00913A15" w:rsidRPr="00913A15" w:rsidRDefault="00913A15" w:rsidP="00913A15">
      <w:pPr>
        <w:ind w:firstLine="709"/>
        <w:jc w:val="both"/>
        <w:rPr>
          <w:rFonts w:ascii="Arial" w:hAnsi="Arial" w:cs="Arial"/>
        </w:rPr>
      </w:pPr>
      <w:r w:rsidRPr="00913A15">
        <w:rPr>
          <w:rFonts w:ascii="Arial" w:hAnsi="Arial" w:cs="Arial"/>
        </w:rPr>
        <w:t xml:space="preserve">- организован пункт проката технических средств реабилитации (воспользовались 115 человек, выдано 173 ТСР, поступило 43 новых ТСР); </w:t>
      </w:r>
    </w:p>
    <w:p w:rsidR="00913A15" w:rsidRPr="00913A15" w:rsidRDefault="00913A15" w:rsidP="00913A15">
      <w:pPr>
        <w:ind w:firstLine="709"/>
        <w:jc w:val="both"/>
        <w:rPr>
          <w:rFonts w:ascii="Arial" w:hAnsi="Arial" w:cs="Arial"/>
        </w:rPr>
      </w:pPr>
      <w:r w:rsidRPr="00913A15">
        <w:rPr>
          <w:rFonts w:ascii="Arial" w:hAnsi="Arial" w:cs="Arial"/>
        </w:rPr>
        <w:t>- реализован проект «Второе дыхание», направленный на работу с людьми, перенесшими инсульт, имеющими когнитивные нарушения (приняли участие 286 получателей социальных услуг);</w:t>
      </w:r>
    </w:p>
    <w:p w:rsidR="00913A15" w:rsidRPr="00913A15" w:rsidRDefault="00913A15" w:rsidP="00913A15">
      <w:pPr>
        <w:ind w:firstLine="709"/>
        <w:jc w:val="both"/>
        <w:rPr>
          <w:rFonts w:ascii="Arial" w:hAnsi="Arial" w:cs="Arial"/>
        </w:rPr>
      </w:pPr>
      <w:r w:rsidRPr="00913A15">
        <w:rPr>
          <w:rFonts w:ascii="Arial" w:hAnsi="Arial" w:cs="Arial"/>
        </w:rPr>
        <w:t>- успешно применяются стационарозамещающие технологии социального обслуживания, которые осуществляются по нескольким направлениям.</w:t>
      </w:r>
    </w:p>
    <w:p w:rsidR="00913A15" w:rsidRPr="00913A15" w:rsidRDefault="00913A15" w:rsidP="00913A15">
      <w:pPr>
        <w:ind w:firstLine="709"/>
        <w:jc w:val="both"/>
        <w:rPr>
          <w:rFonts w:ascii="Arial" w:hAnsi="Arial" w:cs="Arial"/>
        </w:rPr>
      </w:pPr>
      <w:r w:rsidRPr="00913A15">
        <w:rPr>
          <w:rFonts w:ascii="Arial" w:hAnsi="Arial" w:cs="Arial"/>
          <w:u w:val="single"/>
        </w:rPr>
        <w:t>Модернизация учреждения.</w:t>
      </w:r>
      <w:r w:rsidRPr="00913A15">
        <w:rPr>
          <w:rFonts w:ascii="Arial" w:hAnsi="Arial" w:cs="Arial"/>
        </w:rPr>
        <w:t xml:space="preserve"> </w:t>
      </w:r>
    </w:p>
    <w:p w:rsidR="00913A15" w:rsidRPr="00913A15" w:rsidRDefault="00913A15" w:rsidP="00913A15">
      <w:pPr>
        <w:ind w:firstLine="709"/>
        <w:jc w:val="both"/>
        <w:rPr>
          <w:rFonts w:ascii="Arial" w:hAnsi="Arial" w:cs="Arial"/>
        </w:rPr>
      </w:pPr>
      <w:r w:rsidRPr="00913A15">
        <w:rPr>
          <w:rFonts w:ascii="Arial" w:hAnsi="Arial" w:cs="Arial"/>
        </w:rPr>
        <w:t xml:space="preserve">Национальный проект «Кадры» регионального проекта «Управление рынком труда» позволил модернизировать Тайгинский сектор Территориального центра занятости населения  ГКУ «Кадровый центр Кузбасса». Модернизация включала в себя полное переоснащение материальной базы, цифровизацию и введение единого стандарта обслуживания.  </w:t>
      </w:r>
    </w:p>
    <w:p w:rsidR="00913A15" w:rsidRPr="00913A15" w:rsidRDefault="00913A15" w:rsidP="00913A15">
      <w:pPr>
        <w:ind w:firstLine="709"/>
        <w:jc w:val="both"/>
        <w:rPr>
          <w:rFonts w:ascii="Arial" w:hAnsi="Arial" w:cs="Arial"/>
        </w:rPr>
      </w:pPr>
      <w:r w:rsidRPr="00913A15">
        <w:rPr>
          <w:rFonts w:ascii="Arial" w:hAnsi="Arial" w:cs="Arial"/>
          <w:u w:val="single"/>
        </w:rPr>
        <w:t>Благоустройство</w:t>
      </w:r>
      <w:r w:rsidRPr="00913A15">
        <w:rPr>
          <w:rFonts w:ascii="Arial" w:hAnsi="Arial" w:cs="Arial"/>
        </w:rPr>
        <w:t xml:space="preserve">. </w:t>
      </w:r>
    </w:p>
    <w:p w:rsidR="00913A15" w:rsidRPr="00913A15" w:rsidRDefault="00913A15" w:rsidP="00913A15">
      <w:pPr>
        <w:ind w:firstLine="709"/>
        <w:jc w:val="both"/>
        <w:rPr>
          <w:rFonts w:ascii="Arial" w:hAnsi="Arial" w:cs="Arial"/>
        </w:rPr>
      </w:pPr>
      <w:r w:rsidRPr="00913A15">
        <w:rPr>
          <w:rFonts w:ascii="Arial" w:hAnsi="Arial" w:cs="Arial"/>
        </w:rPr>
        <w:t xml:space="preserve">Наш город ежегодно участвует в федеральном проекте «Формирование комфортной городской среды» национального проекта «Инфраструктура для жизни». </w:t>
      </w:r>
      <w:r w:rsidRPr="00913A15">
        <w:rPr>
          <w:rFonts w:ascii="Arial" w:hAnsi="Arial" w:cs="Arial"/>
        </w:rPr>
        <w:lastRenderedPageBreak/>
        <w:t>Выполнили первый этап благоустройства общественной территории — сквера на улице Мира. В 2026-2027 годах работы по благоустройству сквера продолжатся.</w:t>
      </w:r>
    </w:p>
    <w:p w:rsidR="00913A15" w:rsidRPr="00913A15" w:rsidRDefault="00913A15" w:rsidP="00913A15">
      <w:pPr>
        <w:ind w:firstLine="709"/>
        <w:jc w:val="both"/>
        <w:rPr>
          <w:rFonts w:ascii="Arial" w:hAnsi="Arial" w:cs="Arial"/>
          <w:color w:val="000000"/>
          <w:shd w:val="clear" w:color="auto" w:fill="FFFFFF"/>
        </w:rPr>
      </w:pPr>
      <w:r w:rsidRPr="00913A15">
        <w:rPr>
          <w:rFonts w:ascii="Arial" w:hAnsi="Arial" w:cs="Arial"/>
          <w:color w:val="000000"/>
        </w:rPr>
        <w:t xml:space="preserve">Традиционно ежегодно участвуем в конкурсе </w:t>
      </w:r>
      <w:r w:rsidRPr="00913A15">
        <w:rPr>
          <w:rFonts w:ascii="Arial" w:hAnsi="Arial" w:cs="Arial"/>
          <w:color w:val="000000" w:themeColor="text1"/>
          <w:shd w:val="clear" w:color="auto" w:fill="FFFFFF"/>
        </w:rPr>
        <w:t xml:space="preserve">«Твой Кузбасс – твоя инициатива». </w:t>
      </w:r>
      <w:r w:rsidRPr="00913A15">
        <w:rPr>
          <w:rFonts w:ascii="Arial" w:hAnsi="Arial" w:cs="Arial"/>
        </w:rPr>
        <w:t>В результате отбора проект по благоустройству детской игровой площадки на улице Кузнецова был признан победителем. У</w:t>
      </w:r>
      <w:r w:rsidRPr="00913A15">
        <w:rPr>
          <w:rFonts w:ascii="Arial" w:hAnsi="Arial" w:cs="Arial"/>
          <w:color w:val="000000"/>
          <w:shd w:val="clear" w:color="auto" w:fill="FFFFFF"/>
        </w:rPr>
        <w:t xml:space="preserve">становили новое игровое оборудование на резиновом покрытии. Реализация данного проекта не только преобразила территорию, но и создала условия для активного отдыха юных жителей. </w:t>
      </w:r>
    </w:p>
    <w:p w:rsidR="00913A15" w:rsidRPr="00913A15" w:rsidRDefault="00913A15" w:rsidP="00913A15">
      <w:pPr>
        <w:ind w:firstLine="709"/>
        <w:jc w:val="both"/>
        <w:rPr>
          <w:rFonts w:ascii="Arial" w:hAnsi="Arial" w:cs="Arial"/>
        </w:rPr>
      </w:pPr>
      <w:r w:rsidRPr="00913A15">
        <w:rPr>
          <w:rFonts w:ascii="Arial" w:hAnsi="Arial" w:cs="Arial"/>
          <w:bCs/>
          <w:u w:val="single"/>
          <w:shd w:val="clear" w:color="auto" w:fill="FFFFFF"/>
        </w:rPr>
        <w:t>Обеспечение жильем.</w:t>
      </w:r>
      <w:r w:rsidRPr="00913A15">
        <w:rPr>
          <w:rFonts w:ascii="Arial" w:hAnsi="Arial" w:cs="Arial"/>
        </w:rPr>
        <w:t xml:space="preserve"> </w:t>
      </w:r>
    </w:p>
    <w:p w:rsidR="00913A15" w:rsidRPr="00913A15" w:rsidRDefault="00913A15" w:rsidP="00913A15">
      <w:pPr>
        <w:ind w:firstLine="709"/>
        <w:jc w:val="both"/>
        <w:rPr>
          <w:rFonts w:ascii="Arial" w:hAnsi="Arial" w:cs="Arial"/>
        </w:rPr>
      </w:pPr>
      <w:r w:rsidRPr="00913A15">
        <w:rPr>
          <w:rFonts w:ascii="Arial" w:hAnsi="Arial" w:cs="Arial"/>
        </w:rPr>
        <w:t>В соответствии с мероприятием по обеспечению жильем молодых семей ведомственной целевой программы в 2025 году одна молодая семья получила сертификат на приобретение жилья на вторичном рынке и гражданам по категории «Дети, оставшиеся без попечения родителей, лица из их числа» выдано 2 сертификата и предоставлено 10 жилых помещений.</w:t>
      </w:r>
    </w:p>
    <w:p w:rsidR="00913A15" w:rsidRPr="00913A15" w:rsidRDefault="00913A15" w:rsidP="00913A15">
      <w:pPr>
        <w:ind w:firstLine="709"/>
        <w:jc w:val="both"/>
        <w:rPr>
          <w:rFonts w:ascii="Arial" w:hAnsi="Arial" w:cs="Arial"/>
          <w:color w:val="000000"/>
        </w:rPr>
      </w:pPr>
      <w:r w:rsidRPr="00913A15">
        <w:rPr>
          <w:rFonts w:ascii="Arial" w:hAnsi="Arial" w:cs="Arial"/>
          <w:color w:val="000000"/>
          <w:u w:val="single"/>
        </w:rPr>
        <w:t>Капитальный ремонт жилищного фонда.</w:t>
      </w:r>
      <w:r w:rsidRPr="00913A15">
        <w:rPr>
          <w:rFonts w:ascii="Arial" w:hAnsi="Arial" w:cs="Arial"/>
          <w:color w:val="000000"/>
        </w:rPr>
        <w:t xml:space="preserve"> </w:t>
      </w:r>
    </w:p>
    <w:p w:rsidR="00913A15" w:rsidRPr="00913A15" w:rsidRDefault="00913A15" w:rsidP="00913A15">
      <w:pPr>
        <w:ind w:firstLine="709"/>
        <w:jc w:val="both"/>
        <w:rPr>
          <w:rFonts w:ascii="Arial" w:hAnsi="Arial" w:cs="Arial"/>
        </w:rPr>
      </w:pPr>
      <w:r w:rsidRPr="00913A15">
        <w:rPr>
          <w:rFonts w:ascii="Arial" w:hAnsi="Arial" w:cs="Arial"/>
        </w:rPr>
        <w:t xml:space="preserve">За счёт средств жильцов многоквартирных домов капитально отремонтировано четырнадцать кровель. </w:t>
      </w:r>
    </w:p>
    <w:p w:rsidR="00913A15" w:rsidRPr="00913A15" w:rsidRDefault="00913A15" w:rsidP="00913A15">
      <w:pPr>
        <w:ind w:firstLine="709"/>
        <w:jc w:val="both"/>
        <w:rPr>
          <w:rFonts w:ascii="Arial" w:hAnsi="Arial" w:cs="Arial"/>
        </w:rPr>
      </w:pPr>
      <w:r w:rsidRPr="00913A15">
        <w:rPr>
          <w:rFonts w:ascii="Arial" w:hAnsi="Arial" w:cs="Arial"/>
          <w:bCs/>
          <w:color w:val="000000"/>
          <w:u w:val="single"/>
        </w:rPr>
        <w:t>Содержание и ремонт дорог</w:t>
      </w:r>
      <w:r w:rsidRPr="00913A15">
        <w:rPr>
          <w:rFonts w:ascii="Arial" w:hAnsi="Arial" w:cs="Arial"/>
        </w:rPr>
        <w:t>. В летний период 2025 года активно велись работы по восстановлению дорожного покрытия и устранению аварийно-опасных участков. За счет консолидированного бюджета  проведены ремонтные работы на автомобильных дорогах, стоимость которых превысила сорок семь миллионов рублей:</w:t>
      </w:r>
    </w:p>
    <w:p w:rsidR="00913A15" w:rsidRPr="00913A15" w:rsidRDefault="00913A15" w:rsidP="00913A15">
      <w:pPr>
        <w:ind w:firstLine="709"/>
        <w:jc w:val="both"/>
        <w:rPr>
          <w:rFonts w:ascii="Arial" w:hAnsi="Arial" w:cs="Arial"/>
        </w:rPr>
      </w:pPr>
      <w:r w:rsidRPr="00913A15">
        <w:rPr>
          <w:rFonts w:ascii="Arial" w:hAnsi="Arial" w:cs="Arial"/>
        </w:rPr>
        <w:t>- пр. Кирова (от пер. Гончарный до путепровода), продолжение работ, начатых в прошлом году;</w:t>
      </w:r>
    </w:p>
    <w:p w:rsidR="00913A15" w:rsidRPr="00913A15" w:rsidRDefault="00913A15" w:rsidP="00913A15">
      <w:pPr>
        <w:ind w:firstLine="709"/>
        <w:jc w:val="both"/>
        <w:rPr>
          <w:rFonts w:ascii="Arial" w:hAnsi="Arial" w:cs="Arial"/>
        </w:rPr>
      </w:pPr>
      <w:r w:rsidRPr="00913A15">
        <w:rPr>
          <w:rFonts w:ascii="Arial" w:hAnsi="Arial" w:cs="Arial"/>
        </w:rPr>
        <w:t>- ул. Никитина (от пр. Кирова до ул. Щетинкина);</w:t>
      </w:r>
    </w:p>
    <w:p w:rsidR="00913A15" w:rsidRPr="00913A15" w:rsidRDefault="00913A15" w:rsidP="00913A15">
      <w:pPr>
        <w:ind w:firstLine="709"/>
        <w:jc w:val="both"/>
        <w:rPr>
          <w:rFonts w:ascii="Arial" w:hAnsi="Arial" w:cs="Arial"/>
        </w:rPr>
      </w:pPr>
      <w:r w:rsidRPr="00913A15">
        <w:rPr>
          <w:rFonts w:ascii="Arial" w:hAnsi="Arial" w:cs="Arial"/>
        </w:rPr>
        <w:t>- ул. Октябрьская (от ул. Щетинкина до ул. Никитина);</w:t>
      </w:r>
    </w:p>
    <w:p w:rsidR="00913A15" w:rsidRPr="00913A15" w:rsidRDefault="00913A15" w:rsidP="00913A15">
      <w:pPr>
        <w:ind w:firstLine="709"/>
        <w:jc w:val="both"/>
        <w:rPr>
          <w:rFonts w:ascii="Arial" w:hAnsi="Arial" w:cs="Arial"/>
        </w:rPr>
      </w:pPr>
      <w:r w:rsidRPr="00913A15">
        <w:rPr>
          <w:rFonts w:ascii="Arial" w:hAnsi="Arial" w:cs="Arial"/>
        </w:rPr>
        <w:t>- ул. Щетинкина (от ул. Чкалова до ул. Никитина).</w:t>
      </w:r>
    </w:p>
    <w:p w:rsidR="00913A15" w:rsidRPr="00913A15" w:rsidRDefault="00913A15" w:rsidP="00913A15">
      <w:pPr>
        <w:ind w:firstLine="709"/>
        <w:jc w:val="both"/>
        <w:rPr>
          <w:rFonts w:ascii="Arial" w:hAnsi="Arial" w:cs="Arial"/>
        </w:rPr>
      </w:pPr>
      <w:r w:rsidRPr="00913A15">
        <w:rPr>
          <w:rFonts w:ascii="Arial" w:hAnsi="Arial" w:cs="Arial"/>
        </w:rPr>
        <w:t xml:space="preserve">В рамках программы по </w:t>
      </w:r>
      <w:r w:rsidRPr="00913A15">
        <w:rPr>
          <w:rFonts w:ascii="Arial" w:hAnsi="Arial" w:cs="Arial"/>
          <w:bCs/>
        </w:rPr>
        <w:t>безопасности дорожного движения</w:t>
      </w:r>
      <w:r w:rsidRPr="00913A15">
        <w:rPr>
          <w:rFonts w:ascii="Arial" w:hAnsi="Arial" w:cs="Arial"/>
        </w:rPr>
        <w:t xml:space="preserve"> были проведены мероприятия, включающие установку пешеходных ограничивающих барьеров, волнообразных искусственных неровностей, а также окраску пешеходных переходов в районах школ и других учреждений для детей.</w:t>
      </w:r>
    </w:p>
    <w:p w:rsidR="00913A15" w:rsidRPr="00913A15" w:rsidRDefault="00913A15" w:rsidP="00913A15">
      <w:pPr>
        <w:ind w:firstLine="709"/>
        <w:jc w:val="both"/>
        <w:rPr>
          <w:rFonts w:ascii="Arial" w:hAnsi="Arial" w:cs="Arial"/>
        </w:rPr>
      </w:pPr>
      <w:r w:rsidRPr="00913A15">
        <w:rPr>
          <w:rFonts w:ascii="Arial" w:hAnsi="Arial" w:cs="Arial"/>
          <w:u w:val="single"/>
        </w:rPr>
        <w:t>Модернизация системы оповещения населения.</w:t>
      </w:r>
      <w:r w:rsidRPr="00913A15">
        <w:rPr>
          <w:rFonts w:ascii="Arial" w:hAnsi="Arial" w:cs="Arial"/>
        </w:rPr>
        <w:t xml:space="preserve"> </w:t>
      </w:r>
    </w:p>
    <w:p w:rsidR="00913A15" w:rsidRPr="00913A15" w:rsidRDefault="00913A15" w:rsidP="00913A15">
      <w:pPr>
        <w:ind w:firstLine="709"/>
        <w:jc w:val="both"/>
        <w:rPr>
          <w:rFonts w:ascii="Arial" w:hAnsi="Arial" w:cs="Arial"/>
        </w:rPr>
      </w:pPr>
      <w:r w:rsidRPr="00913A15">
        <w:rPr>
          <w:rFonts w:ascii="Arial" w:hAnsi="Arial" w:cs="Arial"/>
        </w:rPr>
        <w:t>Для предотвращения чрезвычайных ситуаций и информирования жителей в 2025 году завершена модернизация системы оповещения по адресу ул. Трактовая, 34. Установлен новый комплекс громкоговорящего оповещения.</w:t>
      </w:r>
    </w:p>
    <w:p w:rsidR="00913A15" w:rsidRPr="00913A15" w:rsidRDefault="00913A15" w:rsidP="00913A15">
      <w:pPr>
        <w:ind w:firstLine="709"/>
        <w:jc w:val="both"/>
        <w:rPr>
          <w:rFonts w:ascii="Arial" w:hAnsi="Arial" w:cs="Arial"/>
        </w:rPr>
      </w:pPr>
      <w:r w:rsidRPr="00913A15">
        <w:rPr>
          <w:rFonts w:ascii="Arial" w:hAnsi="Arial" w:cs="Arial"/>
          <w:u w:val="single"/>
        </w:rPr>
        <w:t>ЖКХ.</w:t>
      </w:r>
      <w:r w:rsidRPr="00913A15">
        <w:rPr>
          <w:rFonts w:ascii="Arial" w:hAnsi="Arial" w:cs="Arial"/>
        </w:rPr>
        <w:t xml:space="preserve"> </w:t>
      </w:r>
    </w:p>
    <w:p w:rsidR="00913A15" w:rsidRPr="00913A15" w:rsidRDefault="00913A15" w:rsidP="00913A15">
      <w:pPr>
        <w:ind w:firstLine="709"/>
        <w:jc w:val="both"/>
        <w:rPr>
          <w:rFonts w:ascii="Arial" w:hAnsi="Arial" w:cs="Arial"/>
        </w:rPr>
      </w:pPr>
      <w:r w:rsidRPr="00913A15">
        <w:rPr>
          <w:rFonts w:ascii="Arial" w:hAnsi="Arial" w:cs="Arial"/>
        </w:rPr>
        <w:t xml:space="preserve">В отчетном году по концессионному соглашению с </w:t>
      </w:r>
      <w:r w:rsidRPr="00913A15">
        <w:rPr>
          <w:rFonts w:ascii="Arial" w:hAnsi="Arial" w:cs="Arial"/>
          <w:bCs/>
        </w:rPr>
        <w:t>Северо-Кузбасской энергетической компанией</w:t>
      </w:r>
      <w:r w:rsidRPr="00913A15">
        <w:rPr>
          <w:rFonts w:ascii="Arial" w:hAnsi="Arial" w:cs="Arial"/>
        </w:rPr>
        <w:t xml:space="preserve"> осуществлена замена старой котельной семейного центра, расположенного по адресу ул. Трудовые резервы, 18, на новую блочно-модульную котельную. Это позволило повысить эффективность функционирования котельной системы.</w:t>
      </w:r>
    </w:p>
    <w:p w:rsidR="00913A15" w:rsidRPr="00913A15" w:rsidRDefault="00913A15" w:rsidP="00913A15">
      <w:pPr>
        <w:ind w:firstLine="709"/>
        <w:jc w:val="both"/>
        <w:rPr>
          <w:rFonts w:ascii="Arial" w:hAnsi="Arial" w:cs="Arial"/>
        </w:rPr>
      </w:pPr>
      <w:r w:rsidRPr="00913A15">
        <w:rPr>
          <w:rFonts w:ascii="Arial" w:hAnsi="Arial" w:cs="Arial"/>
        </w:rPr>
        <w:t>Наблюдается положительная динамика во многих направлениях жизнедеятельности города, реализовано немало важных проектов.</w:t>
      </w:r>
    </w:p>
    <w:p w:rsidR="00913A15" w:rsidRPr="00913A15" w:rsidRDefault="00913A15" w:rsidP="00913A15">
      <w:pPr>
        <w:pStyle w:val="ad"/>
        <w:spacing w:before="0" w:beforeAutospacing="0" w:after="0" w:afterAutospacing="0"/>
        <w:ind w:firstLine="709"/>
        <w:jc w:val="both"/>
        <w:rPr>
          <w:rFonts w:ascii="Arial" w:hAnsi="Arial" w:cs="Arial"/>
          <w:lang w:bidi="en-US"/>
        </w:rPr>
      </w:pPr>
    </w:p>
    <w:p w:rsidR="001D741A" w:rsidRPr="00843070" w:rsidRDefault="001D741A" w:rsidP="001D741A">
      <w:pPr>
        <w:ind w:firstLine="709"/>
        <w:jc w:val="both"/>
        <w:rPr>
          <w:rFonts w:ascii="Arial" w:hAnsi="Arial" w:cs="Arial"/>
        </w:rPr>
      </w:pPr>
    </w:p>
    <w:sectPr w:rsidR="001D741A" w:rsidRPr="00843070" w:rsidSect="001D741A">
      <w:pgSz w:w="11920" w:h="16840"/>
      <w:pgMar w:top="1134" w:right="851" w:bottom="1134"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DC0" w:rsidRDefault="00F76DC0" w:rsidP="00090900">
      <w:r>
        <w:separator/>
      </w:r>
    </w:p>
  </w:endnote>
  <w:endnote w:type="continuationSeparator" w:id="0">
    <w:p w:rsidR="00F76DC0" w:rsidRDefault="00F76DC0" w:rsidP="000909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01"/>
    <w:family w:val="roman"/>
    <w:pitch w:val="default"/>
    <w:sig w:usb0="00000000" w:usb1="00000000" w:usb2="00000000" w:usb3="00000000" w:csb0="00000000" w:csb1="00000000"/>
  </w:font>
  <w:font w:name="Source Han Sans CN Regular">
    <w:charset w:val="00"/>
    <w:family w:val="auto"/>
    <w:pitch w:val="variable"/>
    <w:sig w:usb0="00000000" w:usb1="00000000" w:usb2="00000000" w:usb3="00000000" w:csb0="00000000" w:csb1="00000000"/>
  </w:font>
  <w:font w:name="Lohit Devanagari">
    <w:altName w:val="Times New Roman"/>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DC0" w:rsidRDefault="00F76DC0" w:rsidP="00090900">
      <w:r>
        <w:separator/>
      </w:r>
    </w:p>
  </w:footnote>
  <w:footnote w:type="continuationSeparator" w:id="0">
    <w:p w:rsidR="00F76DC0" w:rsidRDefault="00F76DC0" w:rsidP="000909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37A8"/>
    <w:multiLevelType w:val="hybridMultilevel"/>
    <w:tmpl w:val="9F46DF50"/>
    <w:lvl w:ilvl="0" w:tplc="A79A3370">
      <w:start w:val="1"/>
      <w:numFmt w:val="decimal"/>
      <w:lvlText w:val="%1)"/>
      <w:lvlJc w:val="left"/>
      <w:pPr>
        <w:tabs>
          <w:tab w:val="num" w:pos="1218"/>
        </w:tabs>
        <w:ind w:left="1218" w:hanging="5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2D71945"/>
    <w:multiLevelType w:val="hybridMultilevel"/>
    <w:tmpl w:val="59C44142"/>
    <w:lvl w:ilvl="0" w:tplc="9D6CDB6C">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B837B3B"/>
    <w:multiLevelType w:val="hybridMultilevel"/>
    <w:tmpl w:val="1E7A8B7A"/>
    <w:lvl w:ilvl="0" w:tplc="CA800E0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4732FF1"/>
    <w:multiLevelType w:val="hybridMultilevel"/>
    <w:tmpl w:val="E6F85F12"/>
    <w:lvl w:ilvl="0" w:tplc="C78CBE56">
      <w:start w:val="1"/>
      <w:numFmt w:val="decimal"/>
      <w:lvlText w:val="%1."/>
      <w:lvlJc w:val="left"/>
      <w:pPr>
        <w:tabs>
          <w:tab w:val="num" w:pos="720"/>
        </w:tabs>
        <w:ind w:left="720" w:hanging="360"/>
      </w:pPr>
      <w:rPr>
        <w:rFonts w:hint="default"/>
      </w:rPr>
    </w:lvl>
    <w:lvl w:ilvl="1" w:tplc="933C13B2">
      <w:numFmt w:val="none"/>
      <w:lvlText w:val=""/>
      <w:lvlJc w:val="left"/>
      <w:pPr>
        <w:tabs>
          <w:tab w:val="num" w:pos="360"/>
        </w:tabs>
      </w:pPr>
    </w:lvl>
    <w:lvl w:ilvl="2" w:tplc="DB7A6D4C">
      <w:numFmt w:val="none"/>
      <w:lvlText w:val=""/>
      <w:lvlJc w:val="left"/>
      <w:pPr>
        <w:tabs>
          <w:tab w:val="num" w:pos="360"/>
        </w:tabs>
      </w:pPr>
    </w:lvl>
    <w:lvl w:ilvl="3" w:tplc="88FCCBC0">
      <w:numFmt w:val="none"/>
      <w:lvlText w:val=""/>
      <w:lvlJc w:val="left"/>
      <w:pPr>
        <w:tabs>
          <w:tab w:val="num" w:pos="360"/>
        </w:tabs>
      </w:pPr>
    </w:lvl>
    <w:lvl w:ilvl="4" w:tplc="0C26770C">
      <w:numFmt w:val="none"/>
      <w:lvlText w:val=""/>
      <w:lvlJc w:val="left"/>
      <w:pPr>
        <w:tabs>
          <w:tab w:val="num" w:pos="360"/>
        </w:tabs>
      </w:pPr>
    </w:lvl>
    <w:lvl w:ilvl="5" w:tplc="6436DB50">
      <w:numFmt w:val="none"/>
      <w:lvlText w:val=""/>
      <w:lvlJc w:val="left"/>
      <w:pPr>
        <w:tabs>
          <w:tab w:val="num" w:pos="360"/>
        </w:tabs>
      </w:pPr>
    </w:lvl>
    <w:lvl w:ilvl="6" w:tplc="05B65B18">
      <w:numFmt w:val="none"/>
      <w:lvlText w:val=""/>
      <w:lvlJc w:val="left"/>
      <w:pPr>
        <w:tabs>
          <w:tab w:val="num" w:pos="360"/>
        </w:tabs>
      </w:pPr>
    </w:lvl>
    <w:lvl w:ilvl="7" w:tplc="0B80ADD2">
      <w:numFmt w:val="none"/>
      <w:lvlText w:val=""/>
      <w:lvlJc w:val="left"/>
      <w:pPr>
        <w:tabs>
          <w:tab w:val="num" w:pos="360"/>
        </w:tabs>
      </w:pPr>
    </w:lvl>
    <w:lvl w:ilvl="8" w:tplc="FB7EA0AC">
      <w:numFmt w:val="none"/>
      <w:lvlText w:val=""/>
      <w:lvlJc w:val="left"/>
      <w:pPr>
        <w:tabs>
          <w:tab w:val="num" w:pos="360"/>
        </w:tabs>
      </w:pPr>
    </w:lvl>
  </w:abstractNum>
  <w:abstractNum w:abstractNumId="4">
    <w:nsid w:val="45587F55"/>
    <w:multiLevelType w:val="hybridMultilevel"/>
    <w:tmpl w:val="A34047FE"/>
    <w:lvl w:ilvl="0" w:tplc="C1CEA140">
      <w:start w:val="2"/>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4D667680"/>
    <w:multiLevelType w:val="hybridMultilevel"/>
    <w:tmpl w:val="313C4DA2"/>
    <w:lvl w:ilvl="0" w:tplc="AABEC388">
      <w:start w:val="1"/>
      <w:numFmt w:val="decimal"/>
      <w:lvlText w:val="%1)"/>
      <w:lvlJc w:val="left"/>
      <w:pPr>
        <w:ind w:left="717" w:hanging="353"/>
        <w:jc w:val="left"/>
      </w:pPr>
      <w:rPr>
        <w:rFonts w:ascii="Arial" w:eastAsia="Times New Roman" w:hAnsi="Arial" w:cs="Arial" w:hint="default"/>
        <w:b w:val="0"/>
        <w:bCs w:val="0"/>
        <w:i w:val="0"/>
        <w:iCs w:val="0"/>
        <w:spacing w:val="0"/>
        <w:w w:val="97"/>
        <w:sz w:val="24"/>
        <w:szCs w:val="24"/>
        <w:lang w:val="ru-RU" w:eastAsia="en-US" w:bidi="ar-SA"/>
      </w:rPr>
    </w:lvl>
    <w:lvl w:ilvl="1" w:tplc="3586D498">
      <w:start w:val="1"/>
      <w:numFmt w:val="decimal"/>
      <w:lvlText w:val="%2."/>
      <w:lvlJc w:val="left"/>
      <w:pPr>
        <w:ind w:left="997" w:hanging="408"/>
        <w:jc w:val="right"/>
      </w:pPr>
      <w:rPr>
        <w:rFonts w:hint="default"/>
        <w:spacing w:val="0"/>
        <w:w w:val="93"/>
        <w:lang w:val="ru-RU" w:eastAsia="en-US" w:bidi="ar-SA"/>
      </w:rPr>
    </w:lvl>
    <w:lvl w:ilvl="2" w:tplc="46F6CFB4">
      <w:numFmt w:val="bullet"/>
      <w:lvlText w:val="•"/>
      <w:lvlJc w:val="left"/>
      <w:pPr>
        <w:ind w:left="1993" w:hanging="408"/>
      </w:pPr>
      <w:rPr>
        <w:rFonts w:hint="default"/>
        <w:lang w:val="ru-RU" w:eastAsia="en-US" w:bidi="ar-SA"/>
      </w:rPr>
    </w:lvl>
    <w:lvl w:ilvl="3" w:tplc="BEFA1F7E">
      <w:numFmt w:val="bullet"/>
      <w:lvlText w:val="•"/>
      <w:lvlJc w:val="left"/>
      <w:pPr>
        <w:ind w:left="2986" w:hanging="408"/>
      </w:pPr>
      <w:rPr>
        <w:rFonts w:hint="default"/>
        <w:lang w:val="ru-RU" w:eastAsia="en-US" w:bidi="ar-SA"/>
      </w:rPr>
    </w:lvl>
    <w:lvl w:ilvl="4" w:tplc="7E6217A6">
      <w:numFmt w:val="bullet"/>
      <w:lvlText w:val="•"/>
      <w:lvlJc w:val="left"/>
      <w:pPr>
        <w:ind w:left="3979" w:hanging="408"/>
      </w:pPr>
      <w:rPr>
        <w:rFonts w:hint="default"/>
        <w:lang w:val="ru-RU" w:eastAsia="en-US" w:bidi="ar-SA"/>
      </w:rPr>
    </w:lvl>
    <w:lvl w:ilvl="5" w:tplc="B7469ED4">
      <w:numFmt w:val="bullet"/>
      <w:lvlText w:val="•"/>
      <w:lvlJc w:val="left"/>
      <w:pPr>
        <w:ind w:left="4972" w:hanging="408"/>
      </w:pPr>
      <w:rPr>
        <w:rFonts w:hint="default"/>
        <w:lang w:val="ru-RU" w:eastAsia="en-US" w:bidi="ar-SA"/>
      </w:rPr>
    </w:lvl>
    <w:lvl w:ilvl="6" w:tplc="91DE8C34">
      <w:numFmt w:val="bullet"/>
      <w:lvlText w:val="•"/>
      <w:lvlJc w:val="left"/>
      <w:pPr>
        <w:ind w:left="5965" w:hanging="408"/>
      </w:pPr>
      <w:rPr>
        <w:rFonts w:hint="default"/>
        <w:lang w:val="ru-RU" w:eastAsia="en-US" w:bidi="ar-SA"/>
      </w:rPr>
    </w:lvl>
    <w:lvl w:ilvl="7" w:tplc="2B085574">
      <w:numFmt w:val="bullet"/>
      <w:lvlText w:val="•"/>
      <w:lvlJc w:val="left"/>
      <w:pPr>
        <w:ind w:left="6958" w:hanging="408"/>
      </w:pPr>
      <w:rPr>
        <w:rFonts w:hint="default"/>
        <w:lang w:val="ru-RU" w:eastAsia="en-US" w:bidi="ar-SA"/>
      </w:rPr>
    </w:lvl>
    <w:lvl w:ilvl="8" w:tplc="A1C8DE54">
      <w:numFmt w:val="bullet"/>
      <w:lvlText w:val="•"/>
      <w:lvlJc w:val="left"/>
      <w:pPr>
        <w:ind w:left="7951" w:hanging="408"/>
      </w:pPr>
      <w:rPr>
        <w:rFonts w:hint="default"/>
        <w:lang w:val="ru-RU" w:eastAsia="en-US" w:bidi="ar-SA"/>
      </w:rPr>
    </w:lvl>
  </w:abstractNum>
  <w:abstractNum w:abstractNumId="6">
    <w:nsid w:val="78FF31CA"/>
    <w:multiLevelType w:val="hybridMultilevel"/>
    <w:tmpl w:val="C7CA10DA"/>
    <w:lvl w:ilvl="0" w:tplc="EC4238D0">
      <w:start w:val="1"/>
      <w:numFmt w:val="decimal"/>
      <w:lvlText w:val="%1)"/>
      <w:lvlJc w:val="left"/>
      <w:pPr>
        <w:ind w:left="776" w:hanging="350"/>
        <w:jc w:val="right"/>
      </w:pPr>
      <w:rPr>
        <w:rFonts w:ascii="Arial" w:eastAsia="Times New Roman" w:hAnsi="Arial" w:cs="Arial" w:hint="default"/>
        <w:b w:val="0"/>
        <w:bCs w:val="0"/>
        <w:i w:val="0"/>
        <w:iCs w:val="0"/>
        <w:spacing w:val="0"/>
        <w:w w:val="92"/>
        <w:sz w:val="24"/>
        <w:szCs w:val="24"/>
        <w:lang w:val="ru-RU" w:eastAsia="en-US" w:bidi="ar-SA"/>
      </w:rPr>
    </w:lvl>
    <w:lvl w:ilvl="1" w:tplc="54F23E60">
      <w:numFmt w:val="bullet"/>
      <w:lvlText w:val="•"/>
      <w:lvlJc w:val="left"/>
      <w:pPr>
        <w:ind w:left="1695" w:hanging="350"/>
      </w:pPr>
      <w:rPr>
        <w:rFonts w:hint="default"/>
        <w:lang w:val="ru-RU" w:eastAsia="en-US" w:bidi="ar-SA"/>
      </w:rPr>
    </w:lvl>
    <w:lvl w:ilvl="2" w:tplc="51020BAC">
      <w:numFmt w:val="bullet"/>
      <w:lvlText w:val="•"/>
      <w:lvlJc w:val="left"/>
      <w:pPr>
        <w:ind w:left="2611" w:hanging="350"/>
      </w:pPr>
      <w:rPr>
        <w:rFonts w:hint="default"/>
        <w:lang w:val="ru-RU" w:eastAsia="en-US" w:bidi="ar-SA"/>
      </w:rPr>
    </w:lvl>
    <w:lvl w:ilvl="3" w:tplc="1F1017DE">
      <w:numFmt w:val="bullet"/>
      <w:lvlText w:val="•"/>
      <w:lvlJc w:val="left"/>
      <w:pPr>
        <w:ind w:left="3527" w:hanging="350"/>
      </w:pPr>
      <w:rPr>
        <w:rFonts w:hint="default"/>
        <w:lang w:val="ru-RU" w:eastAsia="en-US" w:bidi="ar-SA"/>
      </w:rPr>
    </w:lvl>
    <w:lvl w:ilvl="4" w:tplc="29224EC8">
      <w:numFmt w:val="bullet"/>
      <w:lvlText w:val="•"/>
      <w:lvlJc w:val="left"/>
      <w:pPr>
        <w:ind w:left="4442" w:hanging="350"/>
      </w:pPr>
      <w:rPr>
        <w:rFonts w:hint="default"/>
        <w:lang w:val="ru-RU" w:eastAsia="en-US" w:bidi="ar-SA"/>
      </w:rPr>
    </w:lvl>
    <w:lvl w:ilvl="5" w:tplc="BA76B05C">
      <w:numFmt w:val="bullet"/>
      <w:lvlText w:val="•"/>
      <w:lvlJc w:val="left"/>
      <w:pPr>
        <w:ind w:left="5358" w:hanging="350"/>
      </w:pPr>
      <w:rPr>
        <w:rFonts w:hint="default"/>
        <w:lang w:val="ru-RU" w:eastAsia="en-US" w:bidi="ar-SA"/>
      </w:rPr>
    </w:lvl>
    <w:lvl w:ilvl="6" w:tplc="2F32F8A8">
      <w:numFmt w:val="bullet"/>
      <w:lvlText w:val="•"/>
      <w:lvlJc w:val="left"/>
      <w:pPr>
        <w:ind w:left="6274" w:hanging="350"/>
      </w:pPr>
      <w:rPr>
        <w:rFonts w:hint="default"/>
        <w:lang w:val="ru-RU" w:eastAsia="en-US" w:bidi="ar-SA"/>
      </w:rPr>
    </w:lvl>
    <w:lvl w:ilvl="7" w:tplc="E5C0BA8A">
      <w:numFmt w:val="bullet"/>
      <w:lvlText w:val="•"/>
      <w:lvlJc w:val="left"/>
      <w:pPr>
        <w:ind w:left="7189" w:hanging="350"/>
      </w:pPr>
      <w:rPr>
        <w:rFonts w:hint="default"/>
        <w:lang w:val="ru-RU" w:eastAsia="en-US" w:bidi="ar-SA"/>
      </w:rPr>
    </w:lvl>
    <w:lvl w:ilvl="8" w:tplc="D77A218E">
      <w:numFmt w:val="bullet"/>
      <w:lvlText w:val="•"/>
      <w:lvlJc w:val="left"/>
      <w:pPr>
        <w:ind w:left="8105" w:hanging="350"/>
      </w:pPr>
      <w:rPr>
        <w:rFonts w:hint="default"/>
        <w:lang w:val="ru-RU" w:eastAsia="en-US" w:bidi="ar-SA"/>
      </w:rPr>
    </w:lvl>
  </w:abstractNum>
  <w:num w:numId="1">
    <w:abstractNumId w:val="3"/>
  </w:num>
  <w:num w:numId="2">
    <w:abstractNumId w:val="0"/>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hdrShapeDefaults>
    <o:shapedefaults v:ext="edit" spidmax="76802"/>
  </w:hdrShapeDefaults>
  <w:footnotePr>
    <w:footnote w:id="-1"/>
    <w:footnote w:id="0"/>
  </w:footnotePr>
  <w:endnotePr>
    <w:endnote w:id="-1"/>
    <w:endnote w:id="0"/>
  </w:endnotePr>
  <w:compat/>
  <w:rsids>
    <w:rsidRoot w:val="00B73D2F"/>
    <w:rsid w:val="00001C69"/>
    <w:rsid w:val="00001F00"/>
    <w:rsid w:val="00003A16"/>
    <w:rsid w:val="000053A9"/>
    <w:rsid w:val="000236AE"/>
    <w:rsid w:val="00053A1B"/>
    <w:rsid w:val="00060BF3"/>
    <w:rsid w:val="00090900"/>
    <w:rsid w:val="00095A0E"/>
    <w:rsid w:val="000C3AC9"/>
    <w:rsid w:val="000C4F61"/>
    <w:rsid w:val="000E1449"/>
    <w:rsid w:val="000F2C8D"/>
    <w:rsid w:val="000F45A8"/>
    <w:rsid w:val="00106146"/>
    <w:rsid w:val="001063A6"/>
    <w:rsid w:val="00130097"/>
    <w:rsid w:val="001306AD"/>
    <w:rsid w:val="00135AA6"/>
    <w:rsid w:val="00141457"/>
    <w:rsid w:val="00171B36"/>
    <w:rsid w:val="00182BE4"/>
    <w:rsid w:val="001A11BA"/>
    <w:rsid w:val="001B69F7"/>
    <w:rsid w:val="001D3C44"/>
    <w:rsid w:val="001D741A"/>
    <w:rsid w:val="001F520A"/>
    <w:rsid w:val="0021351D"/>
    <w:rsid w:val="00227559"/>
    <w:rsid w:val="00287899"/>
    <w:rsid w:val="00297DE6"/>
    <w:rsid w:val="002B146B"/>
    <w:rsid w:val="002D46F5"/>
    <w:rsid w:val="002E3800"/>
    <w:rsid w:val="002F75C3"/>
    <w:rsid w:val="00307894"/>
    <w:rsid w:val="00321F9F"/>
    <w:rsid w:val="003326D0"/>
    <w:rsid w:val="003340F2"/>
    <w:rsid w:val="00355A74"/>
    <w:rsid w:val="00357B80"/>
    <w:rsid w:val="00364C83"/>
    <w:rsid w:val="00394AD7"/>
    <w:rsid w:val="003D43F9"/>
    <w:rsid w:val="003E0782"/>
    <w:rsid w:val="003E0BE5"/>
    <w:rsid w:val="003E13C2"/>
    <w:rsid w:val="003F1EF3"/>
    <w:rsid w:val="003F4922"/>
    <w:rsid w:val="003F4D10"/>
    <w:rsid w:val="00433BE6"/>
    <w:rsid w:val="00450BD2"/>
    <w:rsid w:val="00455B75"/>
    <w:rsid w:val="00462A44"/>
    <w:rsid w:val="00465723"/>
    <w:rsid w:val="004864C1"/>
    <w:rsid w:val="0049093E"/>
    <w:rsid w:val="004B42E7"/>
    <w:rsid w:val="004D4CAA"/>
    <w:rsid w:val="004F6A03"/>
    <w:rsid w:val="005012D8"/>
    <w:rsid w:val="00507281"/>
    <w:rsid w:val="0051322B"/>
    <w:rsid w:val="00542E8A"/>
    <w:rsid w:val="00552242"/>
    <w:rsid w:val="00597EAF"/>
    <w:rsid w:val="005C4325"/>
    <w:rsid w:val="006150D1"/>
    <w:rsid w:val="00623B53"/>
    <w:rsid w:val="0062506E"/>
    <w:rsid w:val="00626FF4"/>
    <w:rsid w:val="00654635"/>
    <w:rsid w:val="00655793"/>
    <w:rsid w:val="00674E04"/>
    <w:rsid w:val="00682AA5"/>
    <w:rsid w:val="006A48B1"/>
    <w:rsid w:val="006A5D23"/>
    <w:rsid w:val="006A7E07"/>
    <w:rsid w:val="006B57A8"/>
    <w:rsid w:val="006D6D0D"/>
    <w:rsid w:val="006F0D94"/>
    <w:rsid w:val="006F2BAE"/>
    <w:rsid w:val="00702A5E"/>
    <w:rsid w:val="007207EB"/>
    <w:rsid w:val="007570A1"/>
    <w:rsid w:val="007624ED"/>
    <w:rsid w:val="00784529"/>
    <w:rsid w:val="007877D3"/>
    <w:rsid w:val="007D72E6"/>
    <w:rsid w:val="007E383A"/>
    <w:rsid w:val="0080127D"/>
    <w:rsid w:val="00806FCE"/>
    <w:rsid w:val="00826165"/>
    <w:rsid w:val="00831703"/>
    <w:rsid w:val="00843070"/>
    <w:rsid w:val="008657BB"/>
    <w:rsid w:val="00886508"/>
    <w:rsid w:val="00886ED1"/>
    <w:rsid w:val="008A59DF"/>
    <w:rsid w:val="008B7A51"/>
    <w:rsid w:val="008E0DF3"/>
    <w:rsid w:val="00900D2C"/>
    <w:rsid w:val="009065BA"/>
    <w:rsid w:val="00913A15"/>
    <w:rsid w:val="00936264"/>
    <w:rsid w:val="00951EDC"/>
    <w:rsid w:val="009619DB"/>
    <w:rsid w:val="00964345"/>
    <w:rsid w:val="00983A1A"/>
    <w:rsid w:val="009A0B7B"/>
    <w:rsid w:val="009B1CF1"/>
    <w:rsid w:val="009B5BFF"/>
    <w:rsid w:val="009F3AC7"/>
    <w:rsid w:val="00A20BB7"/>
    <w:rsid w:val="00A8618C"/>
    <w:rsid w:val="00AA04B4"/>
    <w:rsid w:val="00AA06A3"/>
    <w:rsid w:val="00AE119F"/>
    <w:rsid w:val="00AF4AC0"/>
    <w:rsid w:val="00B13F7B"/>
    <w:rsid w:val="00B50E16"/>
    <w:rsid w:val="00B56EC4"/>
    <w:rsid w:val="00B70706"/>
    <w:rsid w:val="00B73D2F"/>
    <w:rsid w:val="00B7513E"/>
    <w:rsid w:val="00B7673B"/>
    <w:rsid w:val="00B838CE"/>
    <w:rsid w:val="00BA01DE"/>
    <w:rsid w:val="00BA5223"/>
    <w:rsid w:val="00BC3AA2"/>
    <w:rsid w:val="00BF1C96"/>
    <w:rsid w:val="00BF4856"/>
    <w:rsid w:val="00C03301"/>
    <w:rsid w:val="00C34B5B"/>
    <w:rsid w:val="00C4284B"/>
    <w:rsid w:val="00C513BC"/>
    <w:rsid w:val="00C5483E"/>
    <w:rsid w:val="00C93F87"/>
    <w:rsid w:val="00CD7405"/>
    <w:rsid w:val="00D12054"/>
    <w:rsid w:val="00D43D5E"/>
    <w:rsid w:val="00D474C8"/>
    <w:rsid w:val="00D5635B"/>
    <w:rsid w:val="00D60DC6"/>
    <w:rsid w:val="00D73447"/>
    <w:rsid w:val="00D90219"/>
    <w:rsid w:val="00D9208C"/>
    <w:rsid w:val="00DA1357"/>
    <w:rsid w:val="00DB57EE"/>
    <w:rsid w:val="00DB7490"/>
    <w:rsid w:val="00DD51AC"/>
    <w:rsid w:val="00DE5BD7"/>
    <w:rsid w:val="00DF187F"/>
    <w:rsid w:val="00E016AB"/>
    <w:rsid w:val="00E05097"/>
    <w:rsid w:val="00E10D42"/>
    <w:rsid w:val="00E315D8"/>
    <w:rsid w:val="00E733F3"/>
    <w:rsid w:val="00EC3F9E"/>
    <w:rsid w:val="00EE09FC"/>
    <w:rsid w:val="00EE3157"/>
    <w:rsid w:val="00EE6137"/>
    <w:rsid w:val="00EF7208"/>
    <w:rsid w:val="00F47B3D"/>
    <w:rsid w:val="00F615AF"/>
    <w:rsid w:val="00F63275"/>
    <w:rsid w:val="00F73736"/>
    <w:rsid w:val="00F76DC0"/>
    <w:rsid w:val="00F94442"/>
    <w:rsid w:val="00FA18F3"/>
    <w:rsid w:val="00FE1669"/>
    <w:rsid w:val="00FF4E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EF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F1EF3"/>
    <w:pPr>
      <w:ind w:firstLine="900"/>
      <w:jc w:val="both"/>
    </w:pPr>
  </w:style>
  <w:style w:type="paragraph" w:customStyle="1" w:styleId="ConsPlusNormal">
    <w:name w:val="ConsPlusNormal"/>
    <w:rsid w:val="00B838CE"/>
    <w:pPr>
      <w:widowControl w:val="0"/>
      <w:autoSpaceDE w:val="0"/>
      <w:autoSpaceDN w:val="0"/>
      <w:adjustRightInd w:val="0"/>
      <w:ind w:firstLine="720"/>
    </w:pPr>
    <w:rPr>
      <w:rFonts w:ascii="Arial" w:hAnsi="Arial" w:cs="Arial"/>
    </w:rPr>
  </w:style>
  <w:style w:type="paragraph" w:customStyle="1" w:styleId="1">
    <w:name w:val="Стиль1"/>
    <w:basedOn w:val="a4"/>
    <w:next w:val="5"/>
    <w:rsid w:val="003F1EF3"/>
    <w:rPr>
      <w:sz w:val="20"/>
      <w:szCs w:val="20"/>
      <w:lang w:eastAsia="en-US"/>
    </w:rPr>
  </w:style>
  <w:style w:type="paragraph" w:styleId="a4">
    <w:name w:val="Document Map"/>
    <w:basedOn w:val="a"/>
    <w:semiHidden/>
    <w:rsid w:val="003F1EF3"/>
    <w:pPr>
      <w:shd w:val="clear" w:color="auto" w:fill="000080"/>
    </w:pPr>
    <w:rPr>
      <w:rFonts w:ascii="Tahoma" w:hAnsi="Tahoma" w:cs="Tahoma"/>
    </w:rPr>
  </w:style>
  <w:style w:type="paragraph" w:styleId="5">
    <w:name w:val="List 5"/>
    <w:basedOn w:val="a"/>
    <w:rsid w:val="003F1EF3"/>
    <w:pPr>
      <w:ind w:left="1415" w:hanging="283"/>
    </w:pPr>
  </w:style>
  <w:style w:type="paragraph" w:styleId="a5">
    <w:name w:val="No Spacing"/>
    <w:link w:val="a6"/>
    <w:uiPriority w:val="1"/>
    <w:qFormat/>
    <w:rsid w:val="00287899"/>
    <w:rPr>
      <w:rFonts w:ascii="Calibri" w:eastAsia="Calibri" w:hAnsi="Calibri"/>
      <w:sz w:val="22"/>
      <w:szCs w:val="22"/>
      <w:lang w:eastAsia="en-US"/>
    </w:rPr>
  </w:style>
  <w:style w:type="paragraph" w:styleId="a7">
    <w:name w:val="Balloon Text"/>
    <w:basedOn w:val="a"/>
    <w:link w:val="a8"/>
    <w:uiPriority w:val="99"/>
    <w:semiHidden/>
    <w:unhideWhenUsed/>
    <w:rsid w:val="00D90219"/>
    <w:rPr>
      <w:rFonts w:ascii="Tahoma" w:hAnsi="Tahoma" w:cs="Tahoma"/>
      <w:sz w:val="16"/>
      <w:szCs w:val="16"/>
    </w:rPr>
  </w:style>
  <w:style w:type="character" w:customStyle="1" w:styleId="a8">
    <w:name w:val="Текст выноски Знак"/>
    <w:basedOn w:val="a0"/>
    <w:link w:val="a7"/>
    <w:uiPriority w:val="99"/>
    <w:semiHidden/>
    <w:rsid w:val="00D90219"/>
    <w:rPr>
      <w:rFonts w:ascii="Tahoma" w:hAnsi="Tahoma" w:cs="Tahoma"/>
      <w:sz w:val="16"/>
      <w:szCs w:val="16"/>
    </w:rPr>
  </w:style>
  <w:style w:type="paragraph" w:customStyle="1" w:styleId="ConsTitle">
    <w:name w:val="ConsTitle"/>
    <w:rsid w:val="00C34B5B"/>
    <w:pPr>
      <w:widowControl w:val="0"/>
      <w:autoSpaceDE w:val="0"/>
      <w:autoSpaceDN w:val="0"/>
      <w:adjustRightInd w:val="0"/>
      <w:ind w:right="19772"/>
    </w:pPr>
    <w:rPr>
      <w:rFonts w:ascii="Arial" w:hAnsi="Arial" w:cs="Arial"/>
      <w:b/>
      <w:bCs/>
      <w:sz w:val="16"/>
      <w:szCs w:val="16"/>
      <w:lang w:eastAsia="en-US"/>
    </w:rPr>
  </w:style>
  <w:style w:type="paragraph" w:styleId="3">
    <w:name w:val="Body Text Indent 3"/>
    <w:basedOn w:val="a"/>
    <w:link w:val="30"/>
    <w:uiPriority w:val="99"/>
    <w:unhideWhenUsed/>
    <w:rsid w:val="00135AA6"/>
    <w:pPr>
      <w:spacing w:after="120"/>
      <w:ind w:left="283"/>
    </w:pPr>
    <w:rPr>
      <w:sz w:val="16"/>
      <w:szCs w:val="16"/>
    </w:rPr>
  </w:style>
  <w:style w:type="character" w:customStyle="1" w:styleId="30">
    <w:name w:val="Основной текст с отступом 3 Знак"/>
    <w:basedOn w:val="a0"/>
    <w:link w:val="3"/>
    <w:uiPriority w:val="99"/>
    <w:rsid w:val="00135AA6"/>
    <w:rPr>
      <w:sz w:val="16"/>
      <w:szCs w:val="16"/>
    </w:rPr>
  </w:style>
  <w:style w:type="character" w:customStyle="1" w:styleId="a6">
    <w:name w:val="Без интервала Знак"/>
    <w:basedOn w:val="a0"/>
    <w:link w:val="a5"/>
    <w:uiPriority w:val="1"/>
    <w:locked/>
    <w:rsid w:val="00462A44"/>
    <w:rPr>
      <w:rFonts w:ascii="Calibri" w:eastAsia="Calibri" w:hAnsi="Calibri"/>
      <w:sz w:val="22"/>
      <w:szCs w:val="22"/>
      <w:lang w:val="ru-RU" w:eastAsia="en-US" w:bidi="ar-SA"/>
    </w:rPr>
  </w:style>
  <w:style w:type="paragraph" w:styleId="a9">
    <w:name w:val="header"/>
    <w:basedOn w:val="a"/>
    <w:link w:val="aa"/>
    <w:uiPriority w:val="99"/>
    <w:semiHidden/>
    <w:unhideWhenUsed/>
    <w:rsid w:val="00090900"/>
    <w:pPr>
      <w:tabs>
        <w:tab w:val="center" w:pos="4677"/>
        <w:tab w:val="right" w:pos="9355"/>
      </w:tabs>
    </w:pPr>
  </w:style>
  <w:style w:type="character" w:customStyle="1" w:styleId="aa">
    <w:name w:val="Верхний колонтитул Знак"/>
    <w:basedOn w:val="a0"/>
    <w:link w:val="a9"/>
    <w:uiPriority w:val="99"/>
    <w:semiHidden/>
    <w:rsid w:val="00090900"/>
    <w:rPr>
      <w:sz w:val="24"/>
      <w:szCs w:val="24"/>
    </w:rPr>
  </w:style>
  <w:style w:type="paragraph" w:styleId="ab">
    <w:name w:val="footer"/>
    <w:basedOn w:val="a"/>
    <w:link w:val="ac"/>
    <w:uiPriority w:val="99"/>
    <w:semiHidden/>
    <w:unhideWhenUsed/>
    <w:rsid w:val="00090900"/>
    <w:pPr>
      <w:tabs>
        <w:tab w:val="center" w:pos="4677"/>
        <w:tab w:val="right" w:pos="9355"/>
      </w:tabs>
    </w:pPr>
  </w:style>
  <w:style w:type="character" w:customStyle="1" w:styleId="ac">
    <w:name w:val="Нижний колонтитул Знак"/>
    <w:basedOn w:val="a0"/>
    <w:link w:val="ab"/>
    <w:uiPriority w:val="99"/>
    <w:semiHidden/>
    <w:rsid w:val="00090900"/>
    <w:rPr>
      <w:sz w:val="24"/>
      <w:szCs w:val="24"/>
    </w:rPr>
  </w:style>
  <w:style w:type="paragraph" w:customStyle="1" w:styleId="ConsPlusTitle">
    <w:name w:val="ConsPlusTitle"/>
    <w:rsid w:val="0051322B"/>
    <w:pPr>
      <w:widowControl w:val="0"/>
      <w:autoSpaceDE w:val="0"/>
      <w:autoSpaceDN w:val="0"/>
      <w:adjustRightInd w:val="0"/>
    </w:pPr>
    <w:rPr>
      <w:rFonts w:ascii="Arial" w:hAnsi="Arial" w:cs="Arial"/>
      <w:b/>
      <w:bCs/>
    </w:rPr>
  </w:style>
  <w:style w:type="paragraph" w:styleId="ad">
    <w:name w:val="Normal (Web)"/>
    <w:basedOn w:val="a"/>
    <w:uiPriority w:val="99"/>
    <w:qFormat/>
    <w:rsid w:val="002F75C3"/>
    <w:pPr>
      <w:spacing w:before="100" w:beforeAutospacing="1" w:after="100" w:afterAutospacing="1"/>
    </w:pPr>
  </w:style>
  <w:style w:type="paragraph" w:customStyle="1" w:styleId="Pro-text">
    <w:name w:val="Pro-text Знак"/>
    <w:basedOn w:val="a"/>
    <w:qFormat/>
    <w:rsid w:val="002F75C3"/>
    <w:pPr>
      <w:spacing w:before="120" w:line="288" w:lineRule="auto"/>
      <w:ind w:left="1200"/>
      <w:jc w:val="both"/>
    </w:pPr>
    <w:rPr>
      <w:rFonts w:ascii="Georgia" w:hAnsi="Georgia"/>
      <w:sz w:val="20"/>
      <w:lang w:val="en-US" w:eastAsia="en-US" w:bidi="en-US"/>
    </w:rPr>
  </w:style>
  <w:style w:type="paragraph" w:styleId="ae">
    <w:name w:val="Plain Text"/>
    <w:basedOn w:val="a"/>
    <w:link w:val="af"/>
    <w:qFormat/>
    <w:rsid w:val="002F75C3"/>
    <w:rPr>
      <w:rFonts w:ascii="Courier New" w:hAnsi="Courier New" w:cs="Courier New"/>
      <w:sz w:val="20"/>
      <w:szCs w:val="20"/>
    </w:rPr>
  </w:style>
  <w:style w:type="character" w:customStyle="1" w:styleId="af">
    <w:name w:val="Текст Знак"/>
    <w:basedOn w:val="a0"/>
    <w:link w:val="ae"/>
    <w:qFormat/>
    <w:rsid w:val="002F75C3"/>
    <w:rPr>
      <w:rFonts w:ascii="Courier New" w:hAnsi="Courier New" w:cs="Courier New"/>
    </w:rPr>
  </w:style>
  <w:style w:type="paragraph" w:styleId="af0">
    <w:name w:val="List Paragraph"/>
    <w:basedOn w:val="a"/>
    <w:uiPriority w:val="1"/>
    <w:qFormat/>
    <w:rsid w:val="002F75C3"/>
    <w:pPr>
      <w:spacing w:after="200" w:line="276" w:lineRule="auto"/>
      <w:ind w:left="720"/>
      <w:contextualSpacing/>
    </w:pPr>
    <w:rPr>
      <w:rFonts w:ascii="Calibri" w:hAnsi="Calibri"/>
      <w:sz w:val="22"/>
      <w:szCs w:val="22"/>
    </w:rPr>
  </w:style>
  <w:style w:type="character" w:customStyle="1" w:styleId="textdesktop-18pt1gdst">
    <w:name w:val="text_desktop-18pt__1gdst"/>
    <w:basedOn w:val="a0"/>
    <w:rsid w:val="002F75C3"/>
  </w:style>
  <w:style w:type="character" w:styleId="af1">
    <w:name w:val="Strong"/>
    <w:basedOn w:val="a0"/>
    <w:uiPriority w:val="22"/>
    <w:qFormat/>
    <w:rsid w:val="002F75C3"/>
    <w:rPr>
      <w:b/>
      <w:bCs/>
    </w:rPr>
  </w:style>
  <w:style w:type="paragraph" w:customStyle="1" w:styleId="rvps2mailrucssattributepostfix">
    <w:name w:val="rvps2_mailru_css_attribute_postfix"/>
    <w:basedOn w:val="a"/>
    <w:rsid w:val="002F75C3"/>
    <w:pPr>
      <w:spacing w:before="100" w:beforeAutospacing="1" w:after="100" w:afterAutospacing="1"/>
    </w:pPr>
  </w:style>
  <w:style w:type="paragraph" w:customStyle="1" w:styleId="af2">
    <w:name w:val="Абзац"/>
    <w:basedOn w:val="ad"/>
    <w:link w:val="af3"/>
    <w:qFormat/>
    <w:rsid w:val="002F75C3"/>
    <w:pPr>
      <w:shd w:val="clear" w:color="auto" w:fill="FFFFFF"/>
      <w:spacing w:before="0" w:beforeAutospacing="0" w:after="0" w:afterAutospacing="0"/>
      <w:ind w:firstLine="879"/>
      <w:jc w:val="both"/>
      <w:textAlignment w:val="baseline"/>
    </w:pPr>
    <w:rPr>
      <w:rFonts w:ascii="Arial" w:hAnsi="Arial" w:cs="Arial"/>
      <w:color w:val="000000"/>
    </w:rPr>
  </w:style>
  <w:style w:type="character" w:customStyle="1" w:styleId="af3">
    <w:name w:val="Абзац Знак"/>
    <w:link w:val="af2"/>
    <w:qFormat/>
    <w:rsid w:val="002F75C3"/>
    <w:rPr>
      <w:rFonts w:ascii="Arial" w:hAnsi="Arial" w:cs="Arial"/>
      <w:color w:val="000000"/>
      <w:sz w:val="24"/>
      <w:szCs w:val="24"/>
      <w:shd w:val="clear" w:color="auto" w:fill="FFFFFF"/>
    </w:rPr>
  </w:style>
  <w:style w:type="paragraph" w:styleId="af4">
    <w:name w:val="Body Text"/>
    <w:basedOn w:val="a"/>
    <w:link w:val="af5"/>
    <w:uiPriority w:val="99"/>
    <w:unhideWhenUsed/>
    <w:rsid w:val="00357B80"/>
    <w:pPr>
      <w:spacing w:after="120"/>
    </w:pPr>
  </w:style>
  <w:style w:type="character" w:customStyle="1" w:styleId="af5">
    <w:name w:val="Основной текст Знак"/>
    <w:basedOn w:val="a0"/>
    <w:link w:val="af4"/>
    <w:uiPriority w:val="99"/>
    <w:rsid w:val="00357B80"/>
    <w:rPr>
      <w:sz w:val="24"/>
      <w:szCs w:val="24"/>
    </w:rPr>
  </w:style>
  <w:style w:type="paragraph" w:customStyle="1" w:styleId="Textbody">
    <w:name w:val="Text body"/>
    <w:basedOn w:val="a"/>
    <w:rsid w:val="00D73447"/>
    <w:pPr>
      <w:widowControl w:val="0"/>
      <w:suppressAutoHyphens/>
      <w:autoSpaceDN w:val="0"/>
      <w:jc w:val="both"/>
      <w:textAlignment w:val="baseline"/>
    </w:pPr>
    <w:rPr>
      <w:rFonts w:ascii="PT Astra Serif" w:eastAsia="Source Han Sans CN Regular" w:hAnsi="PT Astra Serif" w:cs="Lohit Devanagari"/>
      <w:kern w:val="3"/>
      <w:sz w:val="28"/>
    </w:rPr>
  </w:style>
  <w:style w:type="character" w:customStyle="1" w:styleId="StrongEmphasis">
    <w:name w:val="Strong Emphasis"/>
    <w:rsid w:val="00D73447"/>
    <w:rPr>
      <w:b/>
      <w:bCs/>
    </w:rPr>
  </w:style>
  <w:style w:type="paragraph" w:customStyle="1" w:styleId="10">
    <w:name w:val="Абзац списка1"/>
    <w:basedOn w:val="a"/>
    <w:rsid w:val="00D73447"/>
    <w:pPr>
      <w:suppressAutoHyphens/>
      <w:spacing w:after="200"/>
      <w:ind w:left="720"/>
      <w:contextualSpacing/>
    </w:pPr>
    <w:rPr>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DE898-3C3F-4E04-A0CC-C6DDD389F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6</Pages>
  <Words>2501</Words>
  <Characters>14259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О внесение изменений в Положение</vt:lpstr>
    </vt:vector>
  </TitlesOfParts>
  <Company>КУМИ</Company>
  <LinksUpToDate>false</LinksUpToDate>
  <CharactersWithSpaces>16727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внесение изменений в Положение</dc:title>
  <dc:creator>Мельникова О.В</dc:creator>
  <cp:lastModifiedBy>User</cp:lastModifiedBy>
  <cp:revision>29</cp:revision>
  <cp:lastPrinted>2026-06-18T01:29:00Z</cp:lastPrinted>
  <dcterms:created xsi:type="dcterms:W3CDTF">2020-03-24T04:28:00Z</dcterms:created>
  <dcterms:modified xsi:type="dcterms:W3CDTF">2026-06-18T01:29:00Z</dcterms:modified>
</cp:coreProperties>
</file>